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Times New Roman" w:eastAsia="仿宋_GB2312"/>
          <w:b/>
          <w:kern w:val="0"/>
          <w:sz w:val="32"/>
          <w:szCs w:val="32"/>
        </w:rPr>
      </w:pPr>
    </w:p>
    <w:p>
      <w:pPr>
        <w:keepNext w:val="0"/>
        <w:keepLines w:val="0"/>
        <w:pageBreakBefore w:val="0"/>
        <w:kinsoku/>
        <w:wordWrap/>
        <w:overflowPunct/>
        <w:topLinePunct w:val="0"/>
        <w:autoSpaceDE/>
        <w:autoSpaceDN/>
        <w:bidi w:val="0"/>
        <w:adjustRightInd/>
        <w:spacing w:line="560" w:lineRule="exact"/>
        <w:ind w:firstLine="199" w:firstLineChars="45"/>
        <w:jc w:val="center"/>
        <w:textAlignment w:val="auto"/>
        <w:rPr>
          <w:rFonts w:ascii="黑体" w:eastAsia="黑体"/>
          <w:b/>
          <w:sz w:val="44"/>
          <w:szCs w:val="44"/>
        </w:rPr>
      </w:pPr>
    </w:p>
    <w:p>
      <w:pPr>
        <w:keepNext w:val="0"/>
        <w:keepLines w:val="0"/>
        <w:pageBreakBefore w:val="0"/>
        <w:kinsoku/>
        <w:wordWrap/>
        <w:overflowPunct/>
        <w:topLinePunct w:val="0"/>
        <w:autoSpaceDE/>
        <w:autoSpaceDN/>
        <w:bidi w:val="0"/>
        <w:adjustRightInd/>
        <w:spacing w:line="560" w:lineRule="exact"/>
        <w:textAlignment w:val="auto"/>
        <w:rPr>
          <w:rFonts w:ascii="黑体" w:eastAsia="黑体"/>
          <w:b/>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firstLine="198" w:firstLineChars="38"/>
        <w:jc w:val="center"/>
        <w:textAlignment w:val="auto"/>
        <w:rPr>
          <w:rFonts w:ascii="黑体" w:eastAsia="黑体"/>
          <w:b/>
          <w:sz w:val="52"/>
          <w:szCs w:val="52"/>
        </w:rPr>
      </w:pPr>
    </w:p>
    <w:p>
      <w:pPr>
        <w:keepNext w:val="0"/>
        <w:keepLines w:val="0"/>
        <w:pageBreakBefore w:val="0"/>
        <w:widowControl w:val="0"/>
        <w:kinsoku/>
        <w:wordWrap/>
        <w:overflowPunct/>
        <w:topLinePunct w:val="0"/>
        <w:autoSpaceDE/>
        <w:autoSpaceDN/>
        <w:bidi w:val="0"/>
        <w:adjustRightInd/>
        <w:snapToGrid/>
        <w:spacing w:line="360" w:lineRule="auto"/>
        <w:ind w:firstLine="197" w:firstLineChars="38"/>
        <w:jc w:val="center"/>
        <w:textAlignment w:val="auto"/>
        <w:rPr>
          <w:rFonts w:ascii="方正小标宋简体" w:hAnsi="宋体" w:eastAsia="方正小标宋简体"/>
          <w:sz w:val="52"/>
          <w:szCs w:val="52"/>
        </w:rPr>
      </w:pPr>
      <w:r>
        <w:rPr>
          <w:rFonts w:hint="eastAsia" w:ascii="方正小标宋简体" w:hAnsi="宋体" w:eastAsia="方正小标宋简体"/>
          <w:sz w:val="52"/>
          <w:szCs w:val="52"/>
        </w:rPr>
        <w:t>信阳航空职业学院</w:t>
      </w:r>
    </w:p>
    <w:p>
      <w:pPr>
        <w:keepNext w:val="0"/>
        <w:keepLines w:val="0"/>
        <w:pageBreakBefore w:val="0"/>
        <w:widowControl w:val="0"/>
        <w:kinsoku/>
        <w:wordWrap/>
        <w:overflowPunct/>
        <w:topLinePunct w:val="0"/>
        <w:autoSpaceDE/>
        <w:autoSpaceDN/>
        <w:bidi w:val="0"/>
        <w:adjustRightInd/>
        <w:snapToGrid/>
        <w:spacing w:line="360" w:lineRule="auto"/>
        <w:ind w:firstLine="197" w:firstLineChars="38"/>
        <w:jc w:val="center"/>
        <w:textAlignment w:val="auto"/>
        <w:rPr>
          <w:rFonts w:ascii="方正小标宋简体" w:hAnsi="宋体" w:eastAsia="方正小标宋简体"/>
          <w:sz w:val="52"/>
          <w:szCs w:val="52"/>
        </w:rPr>
      </w:pPr>
      <w:r>
        <w:rPr>
          <w:rFonts w:hint="eastAsia" w:ascii="方正小标宋简体" w:hAnsi="宋体" w:eastAsia="方正小标宋简体"/>
          <w:sz w:val="52"/>
          <w:szCs w:val="52"/>
        </w:rPr>
        <w:t>基础化学课程标准</w:t>
      </w:r>
    </w:p>
    <w:p>
      <w:pPr>
        <w:keepNext w:val="0"/>
        <w:keepLines w:val="0"/>
        <w:pageBreakBefore w:val="0"/>
        <w:kinsoku/>
        <w:wordWrap/>
        <w:overflowPunct/>
        <w:topLinePunct w:val="0"/>
        <w:autoSpaceDE/>
        <w:autoSpaceDN/>
        <w:bidi w:val="0"/>
        <w:adjustRightInd/>
        <w:spacing w:line="560" w:lineRule="exact"/>
        <w:ind w:firstLine="199" w:firstLineChars="45"/>
        <w:jc w:val="center"/>
        <w:textAlignment w:val="auto"/>
        <w:rPr>
          <w:rFonts w:ascii="黑体" w:eastAsia="黑体"/>
          <w:b/>
          <w:sz w:val="44"/>
          <w:szCs w:val="44"/>
        </w:rPr>
      </w:pPr>
    </w:p>
    <w:p>
      <w:pPr>
        <w:keepNext w:val="0"/>
        <w:keepLines w:val="0"/>
        <w:pageBreakBefore w:val="0"/>
        <w:kinsoku/>
        <w:wordWrap/>
        <w:overflowPunct/>
        <w:topLinePunct w:val="0"/>
        <w:autoSpaceDE/>
        <w:autoSpaceDN/>
        <w:bidi w:val="0"/>
        <w:adjustRightInd/>
        <w:spacing w:line="560" w:lineRule="exact"/>
        <w:ind w:firstLine="480" w:firstLineChars="200"/>
        <w:jc w:val="center"/>
        <w:textAlignment w:val="auto"/>
        <w:rPr>
          <w:sz w:val="24"/>
        </w:rPr>
      </w:pPr>
    </w:p>
    <w:p>
      <w:pPr>
        <w:keepNext w:val="0"/>
        <w:keepLines w:val="0"/>
        <w:pageBreakBefore w:val="0"/>
        <w:kinsoku/>
        <w:wordWrap/>
        <w:overflowPunct/>
        <w:topLinePunct w:val="0"/>
        <w:autoSpaceDE/>
        <w:autoSpaceDN/>
        <w:bidi w:val="0"/>
        <w:adjustRightInd/>
        <w:spacing w:line="560" w:lineRule="exact"/>
        <w:ind w:firstLine="480" w:firstLineChars="200"/>
        <w:jc w:val="center"/>
        <w:textAlignment w:val="auto"/>
        <w:rPr>
          <w:sz w:val="24"/>
        </w:rPr>
      </w:pPr>
    </w:p>
    <w:p>
      <w:pPr>
        <w:keepNext w:val="0"/>
        <w:keepLines w:val="0"/>
        <w:pageBreakBefore w:val="0"/>
        <w:kinsoku/>
        <w:wordWrap/>
        <w:overflowPunct/>
        <w:topLinePunct w:val="0"/>
        <w:autoSpaceDE/>
        <w:autoSpaceDN/>
        <w:bidi w:val="0"/>
        <w:adjustRightInd/>
        <w:spacing w:line="560" w:lineRule="exact"/>
        <w:ind w:firstLine="480" w:firstLineChars="200"/>
        <w:jc w:val="center"/>
        <w:textAlignment w:val="auto"/>
        <w:rPr>
          <w:sz w:val="24"/>
        </w:rPr>
      </w:pPr>
    </w:p>
    <w:p>
      <w:pPr>
        <w:keepNext w:val="0"/>
        <w:keepLines w:val="0"/>
        <w:pageBreakBefore w:val="0"/>
        <w:kinsoku/>
        <w:wordWrap/>
        <w:overflowPunct/>
        <w:topLinePunct w:val="0"/>
        <w:autoSpaceDE/>
        <w:autoSpaceDN/>
        <w:bidi w:val="0"/>
        <w:adjustRightInd/>
        <w:spacing w:line="560" w:lineRule="exact"/>
        <w:ind w:firstLine="480" w:firstLineChars="200"/>
        <w:jc w:val="center"/>
        <w:textAlignment w:val="auto"/>
        <w:rPr>
          <w:sz w:val="24"/>
        </w:rPr>
      </w:pPr>
    </w:p>
    <w:p>
      <w:pPr>
        <w:keepNext w:val="0"/>
        <w:keepLines w:val="0"/>
        <w:pageBreakBefore w:val="0"/>
        <w:kinsoku/>
        <w:wordWrap/>
        <w:overflowPunct/>
        <w:topLinePunct w:val="0"/>
        <w:autoSpaceDE/>
        <w:autoSpaceDN/>
        <w:bidi w:val="0"/>
        <w:adjustRightInd/>
        <w:snapToGrid w:val="0"/>
        <w:spacing w:line="560" w:lineRule="exact"/>
        <w:ind w:firstLine="787" w:firstLineChars="246"/>
        <w:textAlignment w:val="auto"/>
        <w:rPr>
          <w:color w:val="000000"/>
          <w:sz w:val="32"/>
          <w:szCs w:val="32"/>
        </w:rPr>
      </w:pPr>
    </w:p>
    <w:p>
      <w:pPr>
        <w:keepNext w:val="0"/>
        <w:keepLines w:val="0"/>
        <w:pageBreakBefore w:val="0"/>
        <w:kinsoku/>
        <w:wordWrap/>
        <w:overflowPunct/>
        <w:topLinePunct w:val="0"/>
        <w:autoSpaceDE/>
        <w:autoSpaceDN/>
        <w:bidi w:val="0"/>
        <w:adjustRightInd/>
        <w:snapToGrid w:val="0"/>
        <w:spacing w:line="560" w:lineRule="exact"/>
        <w:ind w:firstLine="787" w:firstLineChars="246"/>
        <w:textAlignment w:val="auto"/>
        <w:rPr>
          <w:color w:val="000000"/>
          <w:sz w:val="32"/>
          <w:szCs w:val="32"/>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eastAsia="宋体"/>
          <w:color w:val="000000"/>
          <w:sz w:val="28"/>
          <w:szCs w:val="28"/>
          <w:lang w:val="en-US" w:eastAsia="zh-CN"/>
        </w:rPr>
      </w:pPr>
      <w:r>
        <w:rPr>
          <w:rFonts w:hint="eastAsia"/>
          <w:color w:val="000000"/>
          <w:sz w:val="32"/>
          <w:szCs w:val="32"/>
        </w:rPr>
        <w:t>编制单位：</w:t>
      </w:r>
      <w:r>
        <w:rPr>
          <w:color w:val="000000"/>
          <w:sz w:val="32"/>
          <w:szCs w:val="32"/>
          <w:u w:val="single"/>
        </w:rPr>
        <w:t xml:space="preserve"> </w:t>
      </w:r>
      <w:r>
        <w:rPr>
          <w:rFonts w:hint="eastAsia"/>
          <w:color w:val="000000"/>
          <w:sz w:val="32"/>
          <w:szCs w:val="32"/>
          <w:u w:val="single"/>
          <w:lang w:val="en-US" w:eastAsia="zh-CN"/>
        </w:rPr>
        <w:t xml:space="preserve">  公共教学部-</w:t>
      </w:r>
      <w:r>
        <w:rPr>
          <w:rFonts w:hint="eastAsia"/>
          <w:color w:val="000000"/>
          <w:sz w:val="32"/>
          <w:szCs w:val="32"/>
          <w:u w:val="single"/>
        </w:rPr>
        <w:t>基础教研室</w:t>
      </w:r>
      <w:r>
        <w:rPr>
          <w:rFonts w:hint="eastAsia"/>
          <w:color w:val="000000"/>
          <w:sz w:val="32"/>
          <w:szCs w:val="32"/>
          <w:u w:val="single"/>
          <w:lang w:val="en-US" w:eastAsia="zh-CN"/>
        </w:rPr>
        <w:t xml:space="preserve">  </w:t>
      </w:r>
    </w:p>
    <w:p>
      <w:pPr>
        <w:keepNext w:val="0"/>
        <w:keepLines w:val="0"/>
        <w:pageBreakBefore w:val="0"/>
        <w:kinsoku/>
        <w:wordWrap/>
        <w:overflowPunct/>
        <w:topLinePunct w:val="0"/>
        <w:autoSpaceDE/>
        <w:autoSpaceDN/>
        <w:bidi w:val="0"/>
        <w:adjustRightInd/>
        <w:spacing w:line="560" w:lineRule="exact"/>
        <w:jc w:val="center"/>
        <w:textAlignment w:val="auto"/>
        <w:rPr>
          <w:b/>
          <w:color w:val="000000"/>
          <w:sz w:val="32"/>
          <w:szCs w:val="32"/>
        </w:rPr>
      </w:pPr>
    </w:p>
    <w:p>
      <w:pPr>
        <w:keepNext w:val="0"/>
        <w:keepLines w:val="0"/>
        <w:pageBreakBefore w:val="0"/>
        <w:kinsoku/>
        <w:wordWrap/>
        <w:overflowPunct/>
        <w:topLinePunct w:val="0"/>
        <w:autoSpaceDE/>
        <w:autoSpaceDN/>
        <w:bidi w:val="0"/>
        <w:adjustRightInd/>
        <w:spacing w:line="560" w:lineRule="exact"/>
        <w:jc w:val="center"/>
        <w:textAlignment w:val="auto"/>
        <w:rPr>
          <w:b/>
          <w:color w:val="000000"/>
          <w:sz w:val="32"/>
          <w:szCs w:val="32"/>
        </w:rPr>
      </w:pPr>
    </w:p>
    <w:p>
      <w:pPr>
        <w:keepNext w:val="0"/>
        <w:keepLines w:val="0"/>
        <w:pageBreakBefore w:val="0"/>
        <w:kinsoku/>
        <w:wordWrap/>
        <w:overflowPunct/>
        <w:topLinePunct w:val="0"/>
        <w:autoSpaceDE/>
        <w:autoSpaceDN/>
        <w:bidi w:val="0"/>
        <w:adjustRightInd/>
        <w:spacing w:line="560" w:lineRule="exact"/>
        <w:jc w:val="center"/>
        <w:textAlignment w:val="auto"/>
        <w:rPr>
          <w:sz w:val="24"/>
        </w:rPr>
      </w:pPr>
    </w:p>
    <w:p>
      <w:pPr>
        <w:keepNext w:val="0"/>
        <w:keepLines w:val="0"/>
        <w:pageBreakBefore w:val="0"/>
        <w:kinsoku/>
        <w:wordWrap/>
        <w:overflowPunct/>
        <w:topLinePunct w:val="0"/>
        <w:autoSpaceDE/>
        <w:autoSpaceDN/>
        <w:bidi w:val="0"/>
        <w:adjustRightInd/>
        <w:spacing w:line="560" w:lineRule="exact"/>
        <w:textAlignment w:val="auto"/>
        <w:rPr>
          <w:sz w:val="24"/>
        </w:rPr>
      </w:pPr>
    </w:p>
    <w:p>
      <w:pPr>
        <w:keepNext w:val="0"/>
        <w:keepLines w:val="0"/>
        <w:pageBreakBefore w:val="0"/>
        <w:kinsoku/>
        <w:wordWrap/>
        <w:overflowPunct/>
        <w:topLinePunct w:val="0"/>
        <w:autoSpaceDE/>
        <w:autoSpaceDN/>
        <w:bidi w:val="0"/>
        <w:adjustRightInd/>
        <w:spacing w:line="560" w:lineRule="exact"/>
        <w:textAlignment w:val="auto"/>
        <w:rPr>
          <w:sz w:val="24"/>
        </w:rPr>
      </w:pPr>
    </w:p>
    <w:p>
      <w:pPr>
        <w:keepNext w:val="0"/>
        <w:keepLines w:val="0"/>
        <w:pageBreakBefore w:val="0"/>
        <w:kinsoku/>
        <w:wordWrap/>
        <w:overflowPunct/>
        <w:topLinePunct w:val="0"/>
        <w:autoSpaceDE/>
        <w:autoSpaceDN/>
        <w:bidi w:val="0"/>
        <w:adjustRightInd/>
        <w:spacing w:line="560" w:lineRule="exact"/>
        <w:textAlignment w:val="auto"/>
        <w:rPr>
          <w:sz w:val="24"/>
        </w:rPr>
      </w:pPr>
    </w:p>
    <w:p>
      <w:pPr>
        <w:keepNext w:val="0"/>
        <w:keepLines w:val="0"/>
        <w:pageBreakBefore w:val="0"/>
        <w:kinsoku/>
        <w:wordWrap/>
        <w:overflowPunct/>
        <w:topLinePunct w:val="0"/>
        <w:autoSpaceDE/>
        <w:autoSpaceDN/>
        <w:bidi w:val="0"/>
        <w:adjustRightInd/>
        <w:spacing w:line="560" w:lineRule="exact"/>
        <w:textAlignment w:val="auto"/>
        <w:rPr>
          <w:sz w:val="24"/>
        </w:rPr>
      </w:pPr>
    </w:p>
    <w:p>
      <w:pPr>
        <w:pStyle w:val="13"/>
        <w:spacing w:after="312" w:afterLines="100" w:line="460" w:lineRule="exact"/>
        <w:ind w:firstLine="0" w:firstLineChars="0"/>
        <w:jc w:val="center"/>
        <w:rPr>
          <w:rFonts w:hint="eastAsia" w:ascii="黑体" w:eastAsia="黑体"/>
          <w:color w:val="000000"/>
          <w:sz w:val="36"/>
          <w:szCs w:val="36"/>
        </w:rPr>
      </w:pPr>
      <w:r>
        <w:rPr>
          <w:rFonts w:hint="eastAsia"/>
          <w:b/>
          <w:color w:val="000000"/>
          <w:sz w:val="32"/>
          <w:szCs w:val="32"/>
        </w:rPr>
        <w:t>20</w:t>
      </w:r>
      <w:r>
        <w:rPr>
          <w:rFonts w:hint="eastAsia"/>
          <w:b/>
          <w:color w:val="000000"/>
          <w:sz w:val="32"/>
          <w:szCs w:val="32"/>
          <w:lang w:val="en-US" w:eastAsia="zh-CN"/>
        </w:rPr>
        <w:t>21</w:t>
      </w:r>
      <w:r>
        <w:rPr>
          <w:b/>
          <w:color w:val="000000"/>
          <w:sz w:val="32"/>
          <w:szCs w:val="32"/>
        </w:rPr>
        <w:t>年</w:t>
      </w:r>
      <w:r>
        <w:rPr>
          <w:rFonts w:hint="eastAsia"/>
          <w:b/>
          <w:color w:val="000000"/>
          <w:sz w:val="32"/>
          <w:szCs w:val="32"/>
          <w:lang w:val="en-US" w:eastAsia="zh-CN"/>
        </w:rPr>
        <w:t>12</w:t>
      </w:r>
      <w:r>
        <w:rPr>
          <w:b/>
          <w:color w:val="000000"/>
          <w:sz w:val="32"/>
          <w:szCs w:val="32"/>
        </w:rPr>
        <w:t>月</w:t>
      </w:r>
    </w:p>
    <w:p>
      <w:pPr>
        <w:pStyle w:val="13"/>
        <w:keepNext w:val="0"/>
        <w:keepLines w:val="0"/>
        <w:pageBreakBefore w:val="0"/>
        <w:kinsoku/>
        <w:wordWrap/>
        <w:overflowPunct/>
        <w:topLinePunct w:val="0"/>
        <w:autoSpaceDE/>
        <w:autoSpaceDN/>
        <w:bidi w:val="0"/>
        <w:adjustRightInd/>
        <w:spacing w:after="312" w:afterLines="100" w:line="560" w:lineRule="exact"/>
        <w:ind w:firstLine="0" w:firstLineChars="0"/>
        <w:jc w:val="center"/>
        <w:textAlignment w:val="auto"/>
        <w:rPr>
          <w:rFonts w:ascii="黑体" w:eastAsia="黑体"/>
          <w:color w:val="000000"/>
          <w:sz w:val="36"/>
          <w:szCs w:val="36"/>
        </w:rPr>
        <w:sectPr>
          <w:footerReference r:id="rId3" w:type="default"/>
          <w:footerReference r:id="rId4" w:type="even"/>
          <w:pgSz w:w="11906" w:h="16838"/>
          <w:pgMar w:top="1440" w:right="1800" w:bottom="1440" w:left="1800" w:header="851" w:footer="992" w:gutter="0"/>
          <w:cols w:space="720" w:num="1"/>
          <w:docGrid w:type="lines" w:linePitch="312" w:charSpace="0"/>
        </w:sectPr>
      </w:pPr>
      <w:bookmarkStart w:id="0" w:name="_GoBack"/>
      <w:bookmarkEnd w:id="0"/>
    </w:p>
    <w:p>
      <w:pPr>
        <w:pStyle w:val="13"/>
        <w:keepNext w:val="0"/>
        <w:keepLines w:val="0"/>
        <w:pageBreakBefore w:val="0"/>
        <w:kinsoku/>
        <w:wordWrap/>
        <w:overflowPunct/>
        <w:topLinePunct w:val="0"/>
        <w:autoSpaceDE/>
        <w:autoSpaceDN/>
        <w:bidi w:val="0"/>
        <w:adjustRightInd/>
        <w:spacing w:after="312" w:afterLines="100" w:line="560" w:lineRule="exact"/>
        <w:ind w:firstLine="0" w:firstLineChars="0"/>
        <w:jc w:val="center"/>
        <w:textAlignment w:val="auto"/>
        <w:rPr>
          <w:rFonts w:ascii="方正小标宋简体" w:eastAsia="方正小标宋简体"/>
          <w:color w:val="000000"/>
          <w:sz w:val="44"/>
          <w:szCs w:val="44"/>
        </w:rPr>
      </w:pPr>
      <w:r>
        <w:rPr>
          <w:rFonts w:hint="eastAsia" w:ascii="方正小标宋简体" w:eastAsia="方正小标宋简体"/>
          <w:color w:val="000000"/>
          <w:sz w:val="44"/>
          <w:szCs w:val="44"/>
        </w:rPr>
        <w:t>基础化学课程标准</w:t>
      </w:r>
    </w:p>
    <w:p>
      <w:pPr>
        <w:pStyle w:val="13"/>
        <w:keepNext w:val="0"/>
        <w:keepLines w:val="0"/>
        <w:pageBreakBefore w:val="0"/>
        <w:kinsoku/>
        <w:wordWrap/>
        <w:overflowPunct/>
        <w:topLinePunct w:val="0"/>
        <w:autoSpaceDE/>
        <w:autoSpaceDN/>
        <w:bidi w:val="0"/>
        <w:adjustRightInd/>
        <w:snapToGrid w:val="0"/>
        <w:spacing w:line="560" w:lineRule="exact"/>
        <w:ind w:firstLine="640"/>
        <w:textAlignment w:val="auto"/>
        <w:rPr>
          <w:rFonts w:ascii="黑体" w:eastAsia="黑体"/>
          <w:color w:val="000000"/>
          <w:sz w:val="32"/>
          <w:szCs w:val="32"/>
        </w:rPr>
      </w:pPr>
      <w:r>
        <w:rPr>
          <w:rFonts w:hint="eastAsia" w:ascii="黑体" w:eastAsia="黑体"/>
          <w:color w:val="000000"/>
          <w:sz w:val="32"/>
          <w:szCs w:val="32"/>
        </w:rPr>
        <w:t>一、课程性质</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（一）课程的性质</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化学》课程是飞机机电设备维修和工业机器人专业专科层次必修的基础专业课和职业能力核心课程之一，教学内容起点与高中化学教材相衔接，是学生在具备了一定的化学、物理、等必备知识后必修的专业基础课。本课程通过研究单质和化合物的组成、结构、性质及反应，使学生理解和掌握周期律、分子结构、氧化还原、配合物、化学热力学等初步知识，并在原理的指导下，理解化学变化中物质结构与性质的关系，初步从宏观和微观不同的角度理解化学变化的基本特征，使学生掌握常见元素及化合物的酸碱性、氧化还原性、溶解性、热稳定性、配位能力及典型反应，熟知元素周期表中各类物质的性质及其变化规律。本课程为职业能力课，后续计划开设《无机化学》《有机化学》《分析化学》《分析化学技术》《化工安全技术》等课程。</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ascii="仿宋GB2312" w:hAnsi="仿宋" w:eastAsia="仿宋GB2312" w:cs="华文仿宋"/>
          <w:bCs/>
          <w:color w:val="000000"/>
          <w:szCs w:val="24"/>
        </w:rPr>
      </w:pPr>
      <w:r>
        <w:rPr>
          <w:rFonts w:hint="eastAsia" w:ascii="仿宋_GB2312" w:hAnsi="Calibri" w:eastAsia="仿宋_GB2312" w:cs="Times New Roman"/>
          <w:color w:val="auto"/>
          <w:kern w:val="2"/>
          <w:sz w:val="24"/>
          <w:szCs w:val="24"/>
          <w:lang w:val="en-US" w:eastAsia="en-US" w:bidi="ar-SA"/>
        </w:rPr>
        <w:t xml:space="preserve">本课程的主要任务是：学习化学的基础理论、基本知识和基本技能。使学生具备应用化工技术类专业高等技术应用性专门人才所必需的化学的基础知识，培养学生的认知能力、实践能力和综合职业能力。为学习后续专业课程、职业技能及继续学习奠定必要的基础。通过本课程的学习，使学生在中学化学学习的基础上较系统地掌握无机化学基础理论、基本知识、重要化合物的性质、实验技能和独立工作的能力，以期为学生今后的工作、科研和后续课程的学习奠定必要的基础。  </w:t>
      </w:r>
    </w:p>
    <w:p>
      <w:pPr>
        <w:pStyle w:val="3"/>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（二）课程基本理念</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本课程遵照教高[2006]14号、教高[2006]16号、教高厅函[2007]47号等文件精神，依据本专业的人才培养方案，确定本课程的目标和教学内容，全面提升高职高专教学理念，明确高职教育的特色内涵、根本任务和中心工作，明确人才培养模式的基本特征；进一步加大课程建设与改革力度，大力推行校企合作，工学结合，切实加强实验实训基地建设，树立全新的教育教学质量观，大力提高教育教学质量，具体应遵循以下原则：</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1）在课程设计上，坚持以能力为本位，以学生为主体，教师角色转换为倡导者,在课程建设的过程中一定要将提升学生的自主学习与自我提高的思想贯彻于课程教学过程中，而教师更多的是发挥教练与导演的引导、启发和沟通的作用。在课程内容上，根据高职业学校教学改革的新要求编写而成，体现“必需”、“够用”的原则。全书分为理论和实验两部分。理论部分包括：绪论，化学基本量和化学计算，碱金属和碱土金属，卤素，原子结构和元素周期律，分子结构，化学反应速率和化学平衡，电解质溶液，硼族元素和碳族元素，氧化还原反应和电化学基础，氮和磷，氧和硫，配位化合物，过渡元素。实验部分包括：无机化学实验须知，无机化学实验及其基本操作。个别章节还附有阅读材料，以拓宽学生的知识面。</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2）在课程教学组织设计上，以真实工作任务或社会产品为载体组织教学，积极推广探索教学做一体化、情境式教学、互动式教学，实现工作过程系统化，知识技能体系系统化的目的。达到课程内容来源于真实，而又高于真实的目的。</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3）在培养过程中，注重全人发展、服务学习，把以“学生就业竞争力与发展潜力培养融为一体、教育与教学融为一体、职业素质养成与职业技能培养融为一体、课内与课外培养融为一体”的理念涵盖人才培养全过程的思想，有机地融入课程建设的过程中，从实现学生专业能力、社会能力和方法能力的提升。</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该门课程的总学时为64学时。</w:t>
      </w:r>
    </w:p>
    <w:p>
      <w:pPr>
        <w:pStyle w:val="3"/>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eastAsia="黑体"/>
          <w:color w:val="000000"/>
          <w:sz w:val="32"/>
          <w:szCs w:val="32"/>
        </w:rPr>
      </w:pPr>
      <w:r>
        <w:rPr>
          <w:rFonts w:hint="eastAsia" w:ascii="黑体" w:eastAsia="黑体"/>
          <w:color w:val="000000"/>
          <w:sz w:val="32"/>
          <w:szCs w:val="32"/>
        </w:rPr>
        <w:t>二、课程目标</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基础化学》课程是培养学生化学基础知识、化学思维方法和实验动手能力的一门课程。本课程以理论与实训相结合，学生通过本课程的学习，能掌握元素周期律、近代物质结构理论、化学热力学、化学动力学等基本理论；掌握溶液的酸碱平衡、氧化还原平衡、沉淀溶解平衡和配位平衡；在原理的指导下，了解物质组成、结构和性质的关系；掌握常见元素及化合物的主要化学性质、结构、变化规律和用途；掌握化学实验的基本操作和技能，具备科学思维能力、严谨的科学态度和创新精神，为其它后续课程的学习及今后的发展打好基础。</w:t>
      </w:r>
    </w:p>
    <w:p>
      <w:pPr>
        <w:pStyle w:val="3"/>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（一）知识目标</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（1）掌握原子的电子层结构与周期表、元素性质之间的关系；</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2）掌握溶液浓度的表示方法，熟悉化学平衡定律，掌握缓冲溶液的缓冲作用原理及pH值的有关计算，了解缓冲溶液的应用，掌握常见元素及化合物的酸碱性、氧化还原性、溶解性、热稳定性、配位能力及典型反应；</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3）掌握溶度积概念和溶度积规则，熟悉沉淀的生成和溶解的基本知识和计算，熟悉氧化还原平衡、能斯特方程相关计算；熟悉氧化还原的有关概念，理解和掌握周期律、分子结构、氧化还原、配合物、化学热力学等初步知识；</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4）熟知元素周期表中各类物质的性质及其变化规律，掌握价键理论，并能运用上述理论判断分子的空间构型，掌握配合物的概念、组成、命名，了解一些重要元素及其化合物的组成、性质及离子鉴定等有关知识。</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（5）建立结构决定性质体系，学会具体问题具体对待。</w:t>
      </w:r>
    </w:p>
    <w:p>
      <w:pPr>
        <w:pStyle w:val="3"/>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（二）能力目标</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（1）安全操作技能——熟悉实验室安全条例和各种注意事项，对于可能发生的危险有自我保护的能力，能处理常见的实验室意外情况。</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（2）实验技能——能够正确使用各类化学药品和器皿，严格按要求完成实验，得到可靠结果。</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（3）报告书写技能——能够根据实验过程和结果完成实训报告，并做到信息详细，处理准确，结果可靠。</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ascii="仿宋GB2312" w:hAnsi="仿宋" w:eastAsia="仿宋GB2312" w:cs="华文仿宋"/>
          <w:bCs/>
          <w:color w:val="000000"/>
          <w:szCs w:val="24"/>
        </w:rPr>
      </w:pPr>
      <w:r>
        <w:rPr>
          <w:rFonts w:hint="eastAsia" w:ascii="仿宋_GB2312" w:hAnsi="Calibri" w:eastAsia="仿宋_GB2312" w:cs="Times New Roman"/>
          <w:color w:val="auto"/>
          <w:kern w:val="2"/>
          <w:sz w:val="24"/>
          <w:szCs w:val="24"/>
          <w:lang w:val="en-US" w:eastAsia="en-US" w:bidi="ar-SA"/>
        </w:rPr>
        <w:t>（4）应用技能——能够根据给出的实验要求，独立完成简单实训并相关事宜。</w:t>
      </w:r>
    </w:p>
    <w:p>
      <w:pPr>
        <w:pStyle w:val="3"/>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（三）素质目标</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1）具有高尚的科学观，实事求是，尊重客观规律，反对迷信邪教，感受并认同化学在社会发展和化学研究中的积极作用，保持和增强对化学现象的好奇心和探究欲，发展学习化学的兴趣，形成一套行之有效的学习方法；</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（2）关注与化学有关的社会问题，逐步树立珍惜资源、爱护环境、合理使用化学物质的观念，有较强的求知欲，逐步进步，崇尚科学思维，有较强的毅力，不怕困难，有信心战胜它。</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（3）热爱化学，热爱本专业，学习态度认真，树立为民族振兴、为社会的进步、为医化学事业的发展学习化学的志向，同时要热爱生活，有团结协作的团队精神和有较强的逻辑思维能力，勇于批评和自我批评。</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（4）学生的辩证唯物主义观点，实事求是的科学态度，严谨务实的工作作风，具备良好的职业道德；</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（5）有理想、有抱负，热爱祖国，有振兴中华的使命感和责任感。</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本课程的总目标是要通过对化学在高等职业教育阶段的学习，使学生能够获得相关专业课及工程学须使用，适应未来工作及进一步发展所必需的重要的化学知识，以及基本的化学思想方法和必要的应用技能；使学生学会观察、分析现实社会，去解决学习、生活、工作中遇到的实际问题，从而进一步增进对化学现象的理解和兴趣；使学生具有一定的创新精神和提出问题分析问题解决问题的能力，从而促进生活、事业的全面充分的发展；使学生既具有独立思考又具有团体协作精神，在科学工作事业中实事求是、坚持真理，勇于攻克难题；使学生能敏感地把握现实社会经济的脉搏，适应社会经济的变革发展，做时代的主人。</w:t>
      </w:r>
    </w:p>
    <w:p>
      <w:pPr>
        <w:pStyle w:val="13"/>
        <w:keepNext w:val="0"/>
        <w:keepLines w:val="0"/>
        <w:pageBreakBefore w:val="0"/>
        <w:kinsoku/>
        <w:wordWrap/>
        <w:overflowPunct/>
        <w:topLinePunct w:val="0"/>
        <w:autoSpaceDE/>
        <w:autoSpaceDN/>
        <w:bidi w:val="0"/>
        <w:adjustRightInd/>
        <w:snapToGrid w:val="0"/>
        <w:spacing w:line="560" w:lineRule="exact"/>
        <w:ind w:firstLine="640"/>
        <w:textAlignment w:val="auto"/>
        <w:rPr>
          <w:rFonts w:ascii="黑体" w:eastAsia="黑体"/>
          <w:color w:val="000000"/>
          <w:sz w:val="32"/>
          <w:szCs w:val="32"/>
        </w:rPr>
      </w:pPr>
      <w:r>
        <w:rPr>
          <w:rFonts w:hint="eastAsia" w:ascii="黑体" w:eastAsia="黑体"/>
          <w:color w:val="000000"/>
          <w:sz w:val="32"/>
          <w:szCs w:val="32"/>
        </w:rPr>
        <w:t>三、课程内容与要求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178"/>
        <w:gridCol w:w="3067"/>
        <w:gridCol w:w="3068"/>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02" w:type="dxa"/>
            <w:vMerge w:val="restart"/>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textAlignment w:val="auto"/>
              <w:rPr>
                <w:rFonts w:ascii="宋体" w:hAnsi="宋体"/>
                <w:b/>
                <w:color w:val="000000"/>
                <w:sz w:val="21"/>
                <w:szCs w:val="21"/>
              </w:rPr>
            </w:pPr>
            <w:r>
              <w:rPr>
                <w:rFonts w:hint="eastAsia" w:ascii="宋体" w:hAnsi="宋体"/>
                <w:b/>
                <w:color w:val="000000"/>
                <w:sz w:val="21"/>
                <w:szCs w:val="21"/>
              </w:rPr>
              <w:t>序号</w:t>
            </w:r>
          </w:p>
        </w:tc>
        <w:tc>
          <w:tcPr>
            <w:tcW w:w="1178" w:type="dxa"/>
            <w:vMerge w:val="restart"/>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textAlignment w:val="auto"/>
              <w:rPr>
                <w:rFonts w:ascii="宋体" w:hAnsi="宋体"/>
                <w:b/>
                <w:color w:val="000000"/>
                <w:sz w:val="21"/>
                <w:szCs w:val="21"/>
              </w:rPr>
            </w:pPr>
            <w:r>
              <w:rPr>
                <w:rFonts w:hint="eastAsia" w:ascii="宋体" w:hAnsi="宋体"/>
                <w:b/>
                <w:color w:val="000000"/>
                <w:sz w:val="21"/>
                <w:szCs w:val="21"/>
              </w:rPr>
              <w:t>学习章节</w:t>
            </w:r>
          </w:p>
        </w:tc>
        <w:tc>
          <w:tcPr>
            <w:tcW w:w="6135" w:type="dxa"/>
            <w:gridSpan w:val="2"/>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ascii="宋体" w:hAnsi="宋体"/>
                <w:b/>
                <w:color w:val="000000"/>
                <w:sz w:val="21"/>
                <w:szCs w:val="21"/>
              </w:rPr>
            </w:pPr>
            <w:r>
              <w:rPr>
                <w:rFonts w:hint="eastAsia" w:ascii="宋体" w:hAnsi="宋体"/>
                <w:b/>
                <w:color w:val="000000"/>
                <w:sz w:val="21"/>
                <w:szCs w:val="21"/>
              </w:rPr>
              <w:t>课程内容和要求</w:t>
            </w:r>
          </w:p>
        </w:tc>
        <w:tc>
          <w:tcPr>
            <w:tcW w:w="719" w:type="dxa"/>
            <w:vMerge w:val="restart"/>
          </w:tcPr>
          <w:p>
            <w:pPr>
              <w:pStyle w:val="13"/>
              <w:keepNext w:val="0"/>
              <w:keepLines w:val="0"/>
              <w:pageBreakBefore w:val="0"/>
              <w:kinsoku/>
              <w:wordWrap/>
              <w:overflowPunct/>
              <w:topLinePunct w:val="0"/>
              <w:autoSpaceDE/>
              <w:autoSpaceDN/>
              <w:bidi w:val="0"/>
              <w:adjustRightInd/>
              <w:spacing w:line="560" w:lineRule="exact"/>
              <w:ind w:firstLine="0" w:firstLineChars="0"/>
              <w:textAlignment w:val="auto"/>
              <w:rPr>
                <w:rFonts w:ascii="宋体" w:hAnsi="宋体"/>
                <w:b/>
                <w:color w:val="000000"/>
                <w:sz w:val="21"/>
                <w:szCs w:val="21"/>
              </w:rPr>
            </w:pPr>
            <w:r>
              <w:rPr>
                <w:rFonts w:hint="eastAsia" w:ascii="宋体" w:hAnsi="宋体"/>
                <w:b/>
                <w:color w:val="000000"/>
                <w:sz w:val="21"/>
                <w:szCs w:val="21"/>
              </w:rPr>
              <w:t>建议学时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02" w:type="dxa"/>
            <w:vMerge w:val="continue"/>
          </w:tcPr>
          <w:p>
            <w:pPr>
              <w:pStyle w:val="13"/>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eastAsia="仿宋_GB2312"/>
                <w:color w:val="000000"/>
                <w:szCs w:val="24"/>
              </w:rPr>
            </w:pPr>
          </w:p>
        </w:tc>
        <w:tc>
          <w:tcPr>
            <w:tcW w:w="1178" w:type="dxa"/>
            <w:vMerge w:val="continue"/>
          </w:tcPr>
          <w:p>
            <w:pPr>
              <w:pStyle w:val="13"/>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eastAsia="仿宋_GB2312"/>
                <w:color w:val="000000"/>
                <w:szCs w:val="24"/>
              </w:rPr>
            </w:pPr>
          </w:p>
        </w:tc>
        <w:tc>
          <w:tcPr>
            <w:tcW w:w="3067" w:type="dxa"/>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ascii="仿宋_GB2312" w:eastAsia="仿宋_GB2312"/>
                <w:color w:val="000000"/>
                <w:szCs w:val="24"/>
              </w:rPr>
            </w:pPr>
            <w:r>
              <w:rPr>
                <w:rFonts w:hint="eastAsia" w:ascii="宋体" w:hAnsi="宋体"/>
                <w:b/>
                <w:color w:val="000000"/>
                <w:sz w:val="21"/>
                <w:szCs w:val="21"/>
              </w:rPr>
              <w:t>理论</w:t>
            </w:r>
          </w:p>
        </w:tc>
        <w:tc>
          <w:tcPr>
            <w:tcW w:w="3068" w:type="dxa"/>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ascii="宋体" w:hAnsi="宋体"/>
                <w:b/>
                <w:color w:val="000000"/>
                <w:sz w:val="21"/>
                <w:szCs w:val="21"/>
              </w:rPr>
            </w:pPr>
            <w:r>
              <w:rPr>
                <w:rFonts w:hint="eastAsia" w:ascii="宋体" w:hAnsi="宋体"/>
                <w:b/>
                <w:color w:val="000000"/>
                <w:sz w:val="21"/>
                <w:szCs w:val="21"/>
              </w:rPr>
              <w:t>实践</w:t>
            </w:r>
          </w:p>
        </w:tc>
        <w:tc>
          <w:tcPr>
            <w:tcW w:w="719" w:type="dxa"/>
            <w:vMerge w:val="continue"/>
          </w:tcPr>
          <w:p>
            <w:pPr>
              <w:pStyle w:val="13"/>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ascii="仿宋_GB2312" w:eastAsia="仿宋_GB2312"/>
                <w:color w:val="000000"/>
                <w:sz w:val="21"/>
                <w:szCs w:val="21"/>
              </w:rPr>
            </w:pPr>
            <w:r>
              <w:rPr>
                <w:rFonts w:hint="eastAsia" w:ascii="仿宋_GB2312" w:eastAsia="仿宋_GB2312"/>
                <w:color w:val="000000"/>
                <w:sz w:val="21"/>
                <w:szCs w:val="21"/>
              </w:rPr>
              <w:t>1</w:t>
            </w:r>
          </w:p>
        </w:tc>
        <w:tc>
          <w:tcPr>
            <w:tcW w:w="1178"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第一章 第一节</w:t>
            </w:r>
          </w:p>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物质的结构和变化</w:t>
            </w:r>
          </w:p>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仿宋" w:hAnsi="仿宋" w:eastAsia="仿宋" w:cs="仿宋"/>
                <w:color w:val="000000"/>
                <w:sz w:val="21"/>
                <w:szCs w:val="21"/>
              </w:rPr>
            </w:pPr>
          </w:p>
        </w:tc>
        <w:tc>
          <w:tcPr>
            <w:tcW w:w="3067" w:type="dxa"/>
            <w:vAlign w:val="center"/>
          </w:tcPr>
          <w:p>
            <w:pPr>
              <w:pStyle w:val="13"/>
              <w:keepNext w:val="0"/>
              <w:keepLines w:val="0"/>
              <w:pageBreakBefore w:val="0"/>
              <w:kinsoku/>
              <w:wordWrap/>
              <w:overflowPunct/>
              <w:topLinePunct w:val="0"/>
              <w:autoSpaceDE/>
              <w:autoSpaceDN/>
              <w:bidi w:val="0"/>
              <w:adjustRightInd/>
              <w:spacing w:line="560" w:lineRule="exact"/>
              <w:ind w:firstLine="48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1.了解原子的组成和原子核外电子的排布规律。</w:t>
            </w:r>
          </w:p>
          <w:p>
            <w:pPr>
              <w:pStyle w:val="13"/>
              <w:keepNext w:val="0"/>
              <w:keepLines w:val="0"/>
              <w:pageBreakBefore w:val="0"/>
              <w:kinsoku/>
              <w:wordWrap/>
              <w:overflowPunct/>
              <w:topLinePunct w:val="0"/>
              <w:autoSpaceDE/>
              <w:autoSpaceDN/>
              <w:bidi w:val="0"/>
              <w:adjustRightInd/>
              <w:spacing w:line="560" w:lineRule="exact"/>
              <w:ind w:firstLine="48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2．了解元素周期表的结构， 理解元素周期表中元素性质的递变规律及应用。</w:t>
            </w:r>
          </w:p>
          <w:p>
            <w:pPr>
              <w:pStyle w:val="13"/>
              <w:keepNext w:val="0"/>
              <w:keepLines w:val="0"/>
              <w:pageBreakBefore w:val="0"/>
              <w:kinsoku/>
              <w:wordWrap/>
              <w:overflowPunct/>
              <w:topLinePunct w:val="0"/>
              <w:autoSpaceDE/>
              <w:autoSpaceDN/>
              <w:bidi w:val="0"/>
              <w:adjustRightInd/>
              <w:spacing w:line="560" w:lineRule="exact"/>
              <w:ind w:firstLine="48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3.掌握质量数A和</w:t>
            </w:r>
            <m:oMath>
              <m:sPre>
                <m:sPrePr>
                  <m:ctrlPr>
                    <w:rPr>
                      <w:rFonts w:hint="eastAsia" w:ascii="Cambria Math" w:hAnsi="Cambria Math" w:eastAsia="仿宋" w:cs="仿宋"/>
                      <w:i/>
                      <w:color w:val="000000"/>
                      <w:sz w:val="21"/>
                      <w:szCs w:val="21"/>
                    </w:rPr>
                  </m:ctrlPr>
                </m:sPrePr>
                <m:sub>
                  <m:r>
                    <m:rPr/>
                    <w:rPr>
                      <w:rFonts w:hint="eastAsia" w:ascii="Cambria Math" w:hAnsi="Cambria Math" w:eastAsia="仿宋" w:cs="仿宋"/>
                      <w:color w:val="000000"/>
                      <w:sz w:val="21"/>
                      <w:szCs w:val="21"/>
                    </w:rPr>
                    <m:t>Z</m:t>
                  </m:r>
                  <m:ctrlPr>
                    <w:rPr>
                      <w:rFonts w:hint="eastAsia" w:ascii="Cambria Math" w:hAnsi="Cambria Math" w:eastAsia="仿宋" w:cs="仿宋"/>
                      <w:i/>
                      <w:color w:val="000000"/>
                      <w:sz w:val="21"/>
                      <w:szCs w:val="21"/>
                    </w:rPr>
                  </m:ctrlPr>
                </m:sub>
                <m:sup>
                  <m:r>
                    <m:rPr/>
                    <w:rPr>
                      <w:rFonts w:hint="eastAsia" w:ascii="Cambria Math" w:hAnsi="Cambria Math" w:eastAsia="仿宋" w:cs="仿宋"/>
                      <w:color w:val="000000"/>
                      <w:sz w:val="21"/>
                      <w:szCs w:val="21"/>
                    </w:rPr>
                    <m:t>A</m:t>
                  </m:r>
                  <m:ctrlPr>
                    <w:rPr>
                      <w:rFonts w:hint="eastAsia" w:ascii="Cambria Math" w:hAnsi="Cambria Math" w:eastAsia="仿宋" w:cs="仿宋"/>
                      <w:i/>
                      <w:color w:val="000000"/>
                      <w:sz w:val="21"/>
                      <w:szCs w:val="21"/>
                    </w:rPr>
                  </m:ctrlPr>
                </m:sup>
                <m:e>
                  <m:r>
                    <m:rPr/>
                    <w:rPr>
                      <w:rFonts w:hint="eastAsia" w:ascii="Cambria Math" w:hAnsi="Cambria Math" w:eastAsia="仿宋" w:cs="仿宋"/>
                      <w:color w:val="000000"/>
                      <w:sz w:val="21"/>
                      <w:szCs w:val="21"/>
                    </w:rPr>
                    <m:t>X</m:t>
                  </m:r>
                  <m:ctrlPr>
                    <w:rPr>
                      <w:rFonts w:hint="eastAsia" w:ascii="Cambria Math" w:hAnsi="Cambria Math" w:eastAsia="仿宋" w:cs="仿宋"/>
                      <w:i/>
                      <w:color w:val="000000"/>
                      <w:sz w:val="21"/>
                      <w:szCs w:val="21"/>
                    </w:rPr>
                  </m:ctrlPr>
                </m:e>
              </m:sPre>
            </m:oMath>
            <w:r>
              <w:rPr>
                <w:rFonts w:hint="eastAsia" w:ascii="仿宋" w:hAnsi="仿宋" w:eastAsia="仿宋" w:cs="仿宋"/>
                <w:color w:val="000000"/>
                <w:sz w:val="21"/>
                <w:szCs w:val="21"/>
              </w:rPr>
              <w:t>的含义， 以及原子核外电子的排布规律，以及元素周期律和元素周期表的结构。</w:t>
            </w:r>
          </w:p>
        </w:tc>
        <w:tc>
          <w:tcPr>
            <w:tcW w:w="3068"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借助课件，组织学生复习初中化学课本中有关原子的内容，以此导入新课，使这些知识成为新知识的生长点，温故而知 新，使学生较为系统地了解构成原子的粒子间的关系。在此基础上，引导学生探索原子结构与元素性质的关系。</w:t>
            </w:r>
          </w:p>
        </w:tc>
        <w:tc>
          <w:tcPr>
            <w:tcW w:w="719"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ascii="仿宋_GB2312" w:eastAsia="仿宋_GB2312"/>
                <w:color w:val="000000"/>
                <w:sz w:val="21"/>
                <w:szCs w:val="21"/>
              </w:rPr>
            </w:pPr>
            <w:r>
              <w:rPr>
                <w:rFonts w:ascii="仿宋_GB2312" w:eastAsia="仿宋_GB2312"/>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ascii="仿宋_GB2312" w:eastAsia="仿宋_GB2312"/>
                <w:color w:val="000000"/>
                <w:sz w:val="21"/>
                <w:szCs w:val="21"/>
              </w:rPr>
            </w:pPr>
            <w:r>
              <w:rPr>
                <w:rFonts w:hint="eastAsia" w:ascii="仿宋_GB2312" w:eastAsia="仿宋_GB2312"/>
                <w:color w:val="000000"/>
                <w:sz w:val="21"/>
                <w:szCs w:val="21"/>
              </w:rPr>
              <w:t>2</w:t>
            </w:r>
          </w:p>
        </w:tc>
        <w:tc>
          <w:tcPr>
            <w:tcW w:w="1178"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第一章 第二节</w:t>
            </w:r>
          </w:p>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氧化还原反应</w:t>
            </w:r>
          </w:p>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仿宋" w:hAnsi="仿宋" w:eastAsia="仿宋" w:cs="仿宋"/>
                <w:color w:val="000000"/>
                <w:sz w:val="21"/>
                <w:szCs w:val="21"/>
              </w:rPr>
            </w:pPr>
          </w:p>
        </w:tc>
        <w:tc>
          <w:tcPr>
            <w:tcW w:w="3067" w:type="dxa"/>
            <w:vAlign w:val="center"/>
          </w:tcPr>
          <w:p>
            <w:pPr>
              <w:pStyle w:val="13"/>
              <w:keepNext w:val="0"/>
              <w:keepLines w:val="0"/>
              <w:pageBreakBefore w:val="0"/>
              <w:kinsoku/>
              <w:wordWrap/>
              <w:overflowPunct/>
              <w:topLinePunct w:val="0"/>
              <w:autoSpaceDE/>
              <w:autoSpaceDN/>
              <w:bidi w:val="0"/>
              <w:adjustRightInd/>
              <w:spacing w:line="560" w:lineRule="exact"/>
              <w:ind w:firstLine="48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1.了解离子键和离子化合物、 共价键和共价化合物的基础知识。</w:t>
            </w:r>
          </w:p>
          <w:p>
            <w:pPr>
              <w:pStyle w:val="13"/>
              <w:keepNext w:val="0"/>
              <w:keepLines w:val="0"/>
              <w:pageBreakBefore w:val="0"/>
              <w:kinsoku/>
              <w:wordWrap/>
              <w:overflowPunct/>
              <w:topLinePunct w:val="0"/>
              <w:autoSpaceDE/>
              <w:autoSpaceDN/>
              <w:bidi w:val="0"/>
              <w:adjustRightInd/>
              <w:spacing w:line="560" w:lineRule="exact"/>
              <w:ind w:firstLine="48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2.了解氧化反应、还原反应和氧化还原反应的概念， 以及常见的氧化剂和还原剂。</w:t>
            </w:r>
          </w:p>
        </w:tc>
        <w:tc>
          <w:tcPr>
            <w:tcW w:w="3068"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组织学生复习初中化学中有关物质的形成，导入化学键的教学；在组织学生列举日常生活中所发生的氧化反应和还原反应的基础上，引入氧化还原反应的教学。</w:t>
            </w:r>
          </w:p>
        </w:tc>
        <w:tc>
          <w:tcPr>
            <w:tcW w:w="719"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ascii="仿宋_GB2312" w:eastAsia="仿宋_GB2312"/>
                <w:color w:val="000000"/>
                <w:sz w:val="21"/>
                <w:szCs w:val="21"/>
              </w:rPr>
            </w:pPr>
            <w:r>
              <w:rPr>
                <w:rFonts w:ascii="仿宋_GB2312" w:eastAsia="仿宋_GB2312"/>
                <w:color w:val="000000"/>
                <w:sz w:val="21"/>
                <w:szCs w:val="21"/>
              </w:rPr>
              <w:t>1</w:t>
            </w:r>
            <w:r>
              <w:rPr>
                <w:rFonts w:hint="eastAsia" w:ascii="仿宋_GB2312" w:eastAsia="仿宋_GB2312"/>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ascii="仿宋_GB2312" w:eastAsia="仿宋_GB2312"/>
                <w:color w:val="000000"/>
                <w:sz w:val="21"/>
                <w:szCs w:val="21"/>
              </w:rPr>
            </w:pPr>
            <w:r>
              <w:rPr>
                <w:rFonts w:hint="eastAsia" w:ascii="仿宋_GB2312" w:eastAsia="仿宋_GB2312"/>
                <w:color w:val="000000"/>
                <w:sz w:val="21"/>
                <w:szCs w:val="21"/>
              </w:rPr>
              <w:t>3</w:t>
            </w:r>
          </w:p>
        </w:tc>
        <w:tc>
          <w:tcPr>
            <w:tcW w:w="1178"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第二章</w:t>
            </w:r>
          </w:p>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第一节</w:t>
            </w:r>
          </w:p>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溶液组成的表示方法</w:t>
            </w:r>
          </w:p>
        </w:tc>
        <w:tc>
          <w:tcPr>
            <w:tcW w:w="3067" w:type="dxa"/>
            <w:vAlign w:val="center"/>
          </w:tcPr>
          <w:p>
            <w:pPr>
              <w:pStyle w:val="13"/>
              <w:keepNext w:val="0"/>
              <w:keepLines w:val="0"/>
              <w:pageBreakBefore w:val="0"/>
              <w:kinsoku/>
              <w:wordWrap/>
              <w:overflowPunct/>
              <w:topLinePunct w:val="0"/>
              <w:autoSpaceDE/>
              <w:autoSpaceDN/>
              <w:bidi w:val="0"/>
              <w:adjustRightInd/>
              <w:spacing w:line="560" w:lineRule="exact"/>
              <w:ind w:firstLine="48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1.了解质量浓度的表示方法。</w:t>
            </w:r>
          </w:p>
          <w:p>
            <w:pPr>
              <w:pStyle w:val="13"/>
              <w:keepNext w:val="0"/>
              <w:keepLines w:val="0"/>
              <w:pageBreakBefore w:val="0"/>
              <w:kinsoku/>
              <w:wordWrap/>
              <w:overflowPunct/>
              <w:topLinePunct w:val="0"/>
              <w:autoSpaceDE/>
              <w:autoSpaceDN/>
              <w:bidi w:val="0"/>
              <w:adjustRightInd/>
              <w:spacing w:line="560" w:lineRule="exact"/>
              <w:ind w:firstLine="48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2．了解微观粒子的数目和宏观物质的质量之间的关系。</w:t>
            </w:r>
          </w:p>
          <w:p>
            <w:pPr>
              <w:pStyle w:val="13"/>
              <w:keepNext w:val="0"/>
              <w:keepLines w:val="0"/>
              <w:pageBreakBefore w:val="0"/>
              <w:kinsoku/>
              <w:wordWrap/>
              <w:overflowPunct/>
              <w:topLinePunct w:val="0"/>
              <w:autoSpaceDE/>
              <w:autoSpaceDN/>
              <w:bidi w:val="0"/>
              <w:adjustRightInd/>
              <w:spacing w:line="560" w:lineRule="exact"/>
              <w:ind w:firstLine="48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3．掌握物质的量及其单位—摩尔、摩尔质量的概念及有关计算。</w:t>
            </w:r>
          </w:p>
          <w:p>
            <w:pPr>
              <w:pStyle w:val="13"/>
              <w:keepNext w:val="0"/>
              <w:keepLines w:val="0"/>
              <w:pageBreakBefore w:val="0"/>
              <w:kinsoku/>
              <w:wordWrap/>
              <w:overflowPunct/>
              <w:topLinePunct w:val="0"/>
              <w:autoSpaceDE/>
              <w:autoSpaceDN/>
              <w:bidi w:val="0"/>
              <w:adjustRightInd/>
              <w:spacing w:line="560" w:lineRule="exact"/>
              <w:ind w:firstLine="48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4．理解化学反应中各物质之间物质的量的比例关系， 并运用这种关系进行简单计算。</w:t>
            </w:r>
          </w:p>
          <w:p>
            <w:pPr>
              <w:pStyle w:val="13"/>
              <w:keepNext w:val="0"/>
              <w:keepLines w:val="0"/>
              <w:pageBreakBefore w:val="0"/>
              <w:kinsoku/>
              <w:wordWrap/>
              <w:overflowPunct/>
              <w:topLinePunct w:val="0"/>
              <w:autoSpaceDE/>
              <w:autoSpaceDN/>
              <w:bidi w:val="0"/>
              <w:adjustRightInd/>
              <w:spacing w:line="560" w:lineRule="exact"/>
              <w:ind w:firstLine="480"/>
              <w:jc w:val="both"/>
              <w:textAlignment w:val="auto"/>
              <w:rPr>
                <w:rFonts w:hint="eastAsia" w:ascii="仿宋" w:hAnsi="仿宋" w:eastAsia="仿宋" w:cs="仿宋"/>
                <w:color w:val="000000"/>
                <w:sz w:val="21"/>
                <w:szCs w:val="21"/>
              </w:rPr>
            </w:pPr>
          </w:p>
        </w:tc>
        <w:tc>
          <w:tcPr>
            <w:tcW w:w="3068"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借助课件，组织学生复习初中学习的有关基本物理量的内容，以此导入新课，使这些知识成为新知识的生长点，举一反三，让学生了解微观粒子的数目和宏观物质的质量之间的关系。在此基础上，引导学生学习掌握物质的量及其单位—摩尔、摩尔质量、物质的质量、阿伏加德罗常数以及它们之间的换算关系。</w:t>
            </w:r>
          </w:p>
        </w:tc>
        <w:tc>
          <w:tcPr>
            <w:tcW w:w="719"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ascii="仿宋_GB2312" w:eastAsia="仿宋_GB2312"/>
                <w:color w:val="000000"/>
                <w:sz w:val="21"/>
                <w:szCs w:val="21"/>
              </w:rPr>
            </w:pPr>
            <w:r>
              <w:rPr>
                <w:rFonts w:hint="eastAsia" w:ascii="仿宋_GB2312" w:eastAsia="仿宋_GB2312"/>
                <w:color w:val="000000"/>
                <w:sz w:val="21"/>
                <w:szCs w:val="21"/>
              </w:rPr>
              <w:t>1</w:t>
            </w:r>
            <w:r>
              <w:rPr>
                <w:rFonts w:ascii="仿宋_GB2312" w:eastAsia="仿宋_GB2312"/>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ascii="仿宋_GB2312" w:eastAsia="仿宋_GB2312"/>
                <w:color w:val="000000"/>
                <w:sz w:val="21"/>
                <w:szCs w:val="21"/>
              </w:rPr>
            </w:pPr>
            <w:r>
              <w:rPr>
                <w:rFonts w:hint="eastAsia" w:ascii="仿宋_GB2312" w:eastAsia="仿宋_GB2312"/>
                <w:color w:val="000000"/>
                <w:sz w:val="21"/>
                <w:szCs w:val="21"/>
              </w:rPr>
              <w:t>4</w:t>
            </w:r>
          </w:p>
        </w:tc>
        <w:tc>
          <w:tcPr>
            <w:tcW w:w="1178"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第二章</w:t>
            </w:r>
          </w:p>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第二节</w:t>
            </w:r>
          </w:p>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化学平衡</w:t>
            </w:r>
          </w:p>
        </w:tc>
        <w:tc>
          <w:tcPr>
            <w:tcW w:w="3067" w:type="dxa"/>
            <w:vAlign w:val="center"/>
          </w:tcPr>
          <w:p>
            <w:pPr>
              <w:pStyle w:val="13"/>
              <w:keepNext w:val="0"/>
              <w:keepLines w:val="0"/>
              <w:pageBreakBefore w:val="0"/>
              <w:kinsoku/>
              <w:wordWrap/>
              <w:overflowPunct/>
              <w:topLinePunct w:val="0"/>
              <w:autoSpaceDE/>
              <w:autoSpaceDN/>
              <w:bidi w:val="0"/>
              <w:adjustRightInd/>
              <w:spacing w:line="560" w:lineRule="exact"/>
              <w:ind w:firstLine="48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1.了解吸热反应、放热反应和可逆反应等概念。</w:t>
            </w:r>
          </w:p>
          <w:p>
            <w:pPr>
              <w:pStyle w:val="13"/>
              <w:keepNext w:val="0"/>
              <w:keepLines w:val="0"/>
              <w:pageBreakBefore w:val="0"/>
              <w:kinsoku/>
              <w:wordWrap/>
              <w:overflowPunct/>
              <w:topLinePunct w:val="0"/>
              <w:autoSpaceDE/>
              <w:autoSpaceDN/>
              <w:bidi w:val="0"/>
              <w:adjustRightInd/>
              <w:spacing w:line="560" w:lineRule="exact"/>
              <w:ind w:firstLine="48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2．了解化学反应速率的概念及表示方法，以及温度、浓度、压强和催化剂对化学反应速率的影响。</w:t>
            </w:r>
          </w:p>
          <w:p>
            <w:pPr>
              <w:pStyle w:val="13"/>
              <w:keepNext w:val="0"/>
              <w:keepLines w:val="0"/>
              <w:pageBreakBefore w:val="0"/>
              <w:kinsoku/>
              <w:wordWrap/>
              <w:overflowPunct/>
              <w:topLinePunct w:val="0"/>
              <w:autoSpaceDE/>
              <w:autoSpaceDN/>
              <w:bidi w:val="0"/>
              <w:adjustRightInd/>
              <w:spacing w:line="560" w:lineRule="exact"/>
              <w:ind w:firstLine="48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3．了解化学平衡的概念及影响化学平衡移动的因素。</w:t>
            </w:r>
          </w:p>
        </w:tc>
        <w:tc>
          <w:tcPr>
            <w:tcW w:w="3068"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借助演示实验，指导学生观察金属铝与稀盐酸、氯化铵与氢氧化钡的作用，感受化学反应中的放热与吸热现象，以此导入新课，使这些知识成为新知识的生长点，合理联想，让学生了解吸热反应、放热反应、可逆反应、 化学反应速率、化学平衡的概念，在此基础上，引导学生学习外界条件对化学反应速率的影响以及影响化学平衡移动的因素。</w:t>
            </w:r>
          </w:p>
        </w:tc>
        <w:tc>
          <w:tcPr>
            <w:tcW w:w="719"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ascii="仿宋_GB2312" w:eastAsia="仿宋_GB2312"/>
                <w:color w:val="000000"/>
                <w:sz w:val="21"/>
                <w:szCs w:val="21"/>
              </w:rPr>
            </w:pPr>
            <w:r>
              <w:rPr>
                <w:rFonts w:hint="eastAsia" w:ascii="仿宋_GB2312" w:eastAsia="仿宋_GB2312"/>
                <w:color w:val="000000"/>
                <w:sz w:val="21"/>
                <w:szCs w:val="21"/>
              </w:rPr>
              <w:t>1</w:t>
            </w:r>
            <w:r>
              <w:rPr>
                <w:rFonts w:ascii="仿宋_GB2312" w:eastAsia="仿宋_GB2312"/>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ascii="仿宋_GB2312" w:eastAsia="仿宋_GB2312"/>
                <w:color w:val="000000"/>
                <w:sz w:val="21"/>
                <w:szCs w:val="21"/>
              </w:rPr>
            </w:pPr>
            <w:r>
              <w:rPr>
                <w:rFonts w:hint="eastAsia" w:ascii="仿宋_GB2312" w:eastAsia="仿宋_GB2312"/>
                <w:color w:val="000000"/>
                <w:sz w:val="21"/>
                <w:szCs w:val="21"/>
              </w:rPr>
              <w:t>5</w:t>
            </w:r>
          </w:p>
        </w:tc>
        <w:tc>
          <w:tcPr>
            <w:tcW w:w="1178"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第二章</w:t>
            </w:r>
          </w:p>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第三节</w:t>
            </w:r>
          </w:p>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弱电解质的解离平衡、水的离子积和溶液的 pH</w:t>
            </w:r>
          </w:p>
        </w:tc>
        <w:tc>
          <w:tcPr>
            <w:tcW w:w="3067" w:type="dxa"/>
            <w:vAlign w:val="center"/>
          </w:tcPr>
          <w:p>
            <w:pPr>
              <w:pStyle w:val="13"/>
              <w:keepNext w:val="0"/>
              <w:keepLines w:val="0"/>
              <w:pageBreakBefore w:val="0"/>
              <w:kinsoku/>
              <w:wordWrap/>
              <w:overflowPunct/>
              <w:topLinePunct w:val="0"/>
              <w:autoSpaceDE/>
              <w:autoSpaceDN/>
              <w:bidi w:val="0"/>
              <w:adjustRightInd/>
              <w:spacing w:line="560" w:lineRule="exact"/>
              <w:ind w:firstLine="48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1.了解电解质的解离和强电解质、 弱电解质的概念。</w:t>
            </w:r>
          </w:p>
          <w:p>
            <w:pPr>
              <w:pStyle w:val="13"/>
              <w:keepNext w:val="0"/>
              <w:keepLines w:val="0"/>
              <w:pageBreakBefore w:val="0"/>
              <w:kinsoku/>
              <w:wordWrap/>
              <w:overflowPunct/>
              <w:topLinePunct w:val="0"/>
              <w:autoSpaceDE/>
              <w:autoSpaceDN/>
              <w:bidi w:val="0"/>
              <w:adjustRightInd/>
              <w:spacing w:line="560" w:lineRule="exact"/>
              <w:ind w:firstLine="48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2．了解弱电解质的解离平衡。</w:t>
            </w:r>
          </w:p>
          <w:p>
            <w:pPr>
              <w:pStyle w:val="13"/>
              <w:keepNext w:val="0"/>
              <w:keepLines w:val="0"/>
              <w:pageBreakBefore w:val="0"/>
              <w:kinsoku/>
              <w:wordWrap/>
              <w:overflowPunct/>
              <w:topLinePunct w:val="0"/>
              <w:autoSpaceDE/>
              <w:autoSpaceDN/>
              <w:bidi w:val="0"/>
              <w:adjustRightInd/>
              <w:spacing w:line="560" w:lineRule="exact"/>
              <w:ind w:firstLine="48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3．理解水的离子积和用 pH 表示溶液酸碱度的方法。</w:t>
            </w:r>
          </w:p>
        </w:tc>
        <w:tc>
          <w:tcPr>
            <w:tcW w:w="3068"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借助电解质溶液的导电实验或课件展示，引出强弱电解质的解离实质，由此介绍水的解离、水的离子积和溶液pH的知识。 教学中，要采用比较法或列举生活中的实例，以调动学生学习兴趣，提高教学效果。</w:t>
            </w:r>
          </w:p>
        </w:tc>
        <w:tc>
          <w:tcPr>
            <w:tcW w:w="719"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ascii="仿宋_GB2312" w:eastAsia="仿宋_GB2312"/>
                <w:color w:val="000000"/>
                <w:sz w:val="21"/>
                <w:szCs w:val="21"/>
              </w:rPr>
            </w:pPr>
            <w:r>
              <w:rPr>
                <w:rFonts w:hint="eastAsia" w:ascii="仿宋_GB2312" w:eastAsia="仿宋_GB2312"/>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ascii="仿宋_GB2312" w:eastAsia="仿宋_GB2312"/>
                <w:color w:val="000000"/>
                <w:sz w:val="21"/>
                <w:szCs w:val="21"/>
              </w:rPr>
            </w:pPr>
            <w:r>
              <w:rPr>
                <w:rFonts w:hint="eastAsia" w:ascii="仿宋_GB2312" w:eastAsia="仿宋_GB2312"/>
                <w:color w:val="000000"/>
                <w:sz w:val="21"/>
                <w:szCs w:val="21"/>
              </w:rPr>
              <w:t>6</w:t>
            </w:r>
          </w:p>
        </w:tc>
        <w:tc>
          <w:tcPr>
            <w:tcW w:w="1178"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第二章</w:t>
            </w:r>
          </w:p>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第四节</w:t>
            </w:r>
          </w:p>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离子反应 、离子方程式和盐的水解</w:t>
            </w:r>
          </w:p>
        </w:tc>
        <w:tc>
          <w:tcPr>
            <w:tcW w:w="3067" w:type="dxa"/>
            <w:vAlign w:val="center"/>
          </w:tcPr>
          <w:p>
            <w:pPr>
              <w:pStyle w:val="13"/>
              <w:keepNext w:val="0"/>
              <w:keepLines w:val="0"/>
              <w:pageBreakBefore w:val="0"/>
              <w:kinsoku/>
              <w:wordWrap/>
              <w:overflowPunct/>
              <w:topLinePunct w:val="0"/>
              <w:autoSpaceDE/>
              <w:autoSpaceDN/>
              <w:bidi w:val="0"/>
              <w:adjustRightInd/>
              <w:spacing w:line="560" w:lineRule="exact"/>
              <w:ind w:firstLine="105" w:firstLineChars="5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1.理解离子反应及其发生条件。</w:t>
            </w:r>
          </w:p>
          <w:p>
            <w:pPr>
              <w:keepNext w:val="0"/>
              <w:keepLines w:val="0"/>
              <w:pageBreakBefore w:val="0"/>
              <w:kinsoku/>
              <w:wordWrap/>
              <w:overflowPunct/>
              <w:topLinePunct w:val="0"/>
              <w:autoSpaceDE/>
              <w:autoSpaceDN/>
              <w:bidi w:val="0"/>
              <w:adjustRightInd/>
              <w:spacing w:line="560" w:lineRule="exact"/>
              <w:ind w:firstLine="105" w:firstLineChars="5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2．了解离子方程式的书写。</w:t>
            </w:r>
          </w:p>
          <w:p>
            <w:pPr>
              <w:pStyle w:val="13"/>
              <w:keepNext w:val="0"/>
              <w:keepLines w:val="0"/>
              <w:pageBreakBefore w:val="0"/>
              <w:kinsoku/>
              <w:wordWrap/>
              <w:overflowPunct/>
              <w:topLinePunct w:val="0"/>
              <w:autoSpaceDE/>
              <w:autoSpaceDN/>
              <w:bidi w:val="0"/>
              <w:adjustRightInd/>
              <w:spacing w:line="560" w:lineRule="exact"/>
              <w:ind w:firstLine="105" w:firstLineChars="5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3．了解强酸弱碱盐和强碱弱酸盐的水解及其水溶液酸碱性的判断。</w:t>
            </w:r>
          </w:p>
        </w:tc>
        <w:tc>
          <w:tcPr>
            <w:tcW w:w="3068"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结合强、弱电解质解离知识的学习，引入离子反应的教学，在此基础上， 讲解离子方程式的书写，理解离子反应的发生条件，进而了解强酸弱碱盐和强碱弱酸盐的水解反应及其水溶液酸碱性的判断。</w:t>
            </w:r>
          </w:p>
        </w:tc>
        <w:tc>
          <w:tcPr>
            <w:tcW w:w="719"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ascii="仿宋_GB2312" w:eastAsia="仿宋_GB2312"/>
                <w:color w:val="000000"/>
                <w:sz w:val="21"/>
                <w:szCs w:val="21"/>
              </w:rPr>
            </w:pPr>
            <w:r>
              <w:rPr>
                <w:rFonts w:hint="eastAsia" w:ascii="仿宋_GB2312" w:eastAsia="仿宋_GB2312"/>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ascii="仿宋_GB2312" w:eastAsia="仿宋_GB2312"/>
                <w:color w:val="000000"/>
                <w:sz w:val="21"/>
                <w:szCs w:val="21"/>
              </w:rPr>
            </w:pPr>
            <w:r>
              <w:rPr>
                <w:rFonts w:hint="eastAsia" w:ascii="仿宋_GB2312" w:eastAsia="仿宋_GB2312"/>
                <w:color w:val="000000"/>
                <w:sz w:val="21"/>
                <w:szCs w:val="21"/>
              </w:rPr>
              <w:t>7</w:t>
            </w:r>
          </w:p>
        </w:tc>
        <w:tc>
          <w:tcPr>
            <w:tcW w:w="1178"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第三章</w:t>
            </w:r>
          </w:p>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第一节</w:t>
            </w:r>
          </w:p>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重要的金属和非金属及其化合物和几种重要的金属及非金属化合物</w:t>
            </w:r>
          </w:p>
        </w:tc>
        <w:tc>
          <w:tcPr>
            <w:tcW w:w="3067" w:type="dxa"/>
            <w:vAlign w:val="center"/>
          </w:tcPr>
          <w:p>
            <w:pPr>
              <w:pStyle w:val="13"/>
              <w:keepNext w:val="0"/>
              <w:keepLines w:val="0"/>
              <w:pageBreakBefore w:val="0"/>
              <w:kinsoku/>
              <w:wordWrap/>
              <w:overflowPunct/>
              <w:topLinePunct w:val="0"/>
              <w:autoSpaceDE/>
              <w:autoSpaceDN/>
              <w:bidi w:val="0"/>
              <w:adjustRightInd/>
              <w:spacing w:line="560" w:lineRule="exact"/>
              <w:ind w:firstLine="48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1．了解非金属元素的原子结构特征和化合价的变化规律。</w:t>
            </w:r>
          </w:p>
          <w:p>
            <w:pPr>
              <w:pStyle w:val="13"/>
              <w:keepNext w:val="0"/>
              <w:keepLines w:val="0"/>
              <w:pageBreakBefore w:val="0"/>
              <w:kinsoku/>
              <w:wordWrap/>
              <w:overflowPunct/>
              <w:topLinePunct w:val="0"/>
              <w:autoSpaceDE/>
              <w:autoSpaceDN/>
              <w:bidi w:val="0"/>
              <w:adjustRightInd/>
              <w:spacing w:line="560" w:lineRule="exact"/>
              <w:ind w:firstLine="48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2．理解典型的非金属单质的特性及主要化学性质，了解其在生产、 生活中的应用和对生态环境的影响。</w:t>
            </w:r>
          </w:p>
          <w:p>
            <w:pPr>
              <w:pStyle w:val="13"/>
              <w:keepNext w:val="0"/>
              <w:keepLines w:val="0"/>
              <w:pageBreakBefore w:val="0"/>
              <w:kinsoku/>
              <w:wordWrap/>
              <w:overflowPunct/>
              <w:topLinePunct w:val="0"/>
              <w:autoSpaceDE/>
              <w:autoSpaceDN/>
              <w:bidi w:val="0"/>
              <w:adjustRightInd/>
              <w:spacing w:line="560" w:lineRule="exact"/>
              <w:ind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3．了解硫化氢的性质； 理解氯化氢和氨气的主要化学性质和用途。</w:t>
            </w:r>
          </w:p>
        </w:tc>
        <w:tc>
          <w:tcPr>
            <w:tcW w:w="3068"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借助课件，组织学生列举日常生活中所接触到非金属单质和含有非金属元素的物品，以激发学生学习兴趣，引发学生进一步了解重要的非金属及其化合物的有关知识。</w:t>
            </w:r>
          </w:p>
        </w:tc>
        <w:tc>
          <w:tcPr>
            <w:tcW w:w="719"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ascii="仿宋_GB2312" w:eastAsia="仿宋_GB2312"/>
                <w:color w:val="000000"/>
                <w:sz w:val="21"/>
                <w:szCs w:val="21"/>
              </w:rPr>
            </w:pPr>
            <w:r>
              <w:rPr>
                <w:rFonts w:hint="eastAsia" w:ascii="仿宋_GB2312" w:eastAsia="仿宋_GB2312"/>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ascii="仿宋_GB2312" w:eastAsia="仿宋_GB2312"/>
                <w:color w:val="000000"/>
                <w:sz w:val="21"/>
                <w:szCs w:val="21"/>
              </w:rPr>
            </w:pPr>
            <w:r>
              <w:rPr>
                <w:rFonts w:hint="eastAsia" w:ascii="仿宋_GB2312" w:eastAsia="仿宋_GB2312"/>
                <w:color w:val="000000"/>
                <w:sz w:val="21"/>
                <w:szCs w:val="21"/>
              </w:rPr>
              <w:t>8</w:t>
            </w:r>
          </w:p>
        </w:tc>
        <w:tc>
          <w:tcPr>
            <w:tcW w:w="1178"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第三章</w:t>
            </w:r>
          </w:p>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第二节</w:t>
            </w:r>
          </w:p>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最简单的一类有机化合物—烃</w:t>
            </w:r>
          </w:p>
        </w:tc>
        <w:tc>
          <w:tcPr>
            <w:tcW w:w="3067" w:type="dxa"/>
            <w:vAlign w:val="center"/>
          </w:tcPr>
          <w:p>
            <w:pPr>
              <w:pStyle w:val="13"/>
              <w:keepNext w:val="0"/>
              <w:keepLines w:val="0"/>
              <w:pageBreakBefore w:val="0"/>
              <w:kinsoku/>
              <w:wordWrap/>
              <w:overflowPunct/>
              <w:topLinePunct w:val="0"/>
              <w:autoSpaceDE/>
              <w:autoSpaceDN/>
              <w:bidi w:val="0"/>
              <w:adjustRightInd/>
              <w:spacing w:line="560" w:lineRule="exact"/>
              <w:ind w:firstLine="48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1．了解有机化合物的概念、 特点和分类。</w:t>
            </w:r>
          </w:p>
          <w:p>
            <w:pPr>
              <w:pStyle w:val="13"/>
              <w:keepNext w:val="0"/>
              <w:keepLines w:val="0"/>
              <w:pageBreakBefore w:val="0"/>
              <w:kinsoku/>
              <w:wordWrap/>
              <w:overflowPunct/>
              <w:topLinePunct w:val="0"/>
              <w:autoSpaceDE/>
              <w:autoSpaceDN/>
              <w:bidi w:val="0"/>
              <w:adjustRightInd/>
              <w:spacing w:line="560" w:lineRule="exact"/>
              <w:ind w:firstLine="48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2．了解有机化合物中官能团的概念以及常见的官能团。</w:t>
            </w:r>
          </w:p>
          <w:p>
            <w:pPr>
              <w:pStyle w:val="13"/>
              <w:keepNext w:val="0"/>
              <w:keepLines w:val="0"/>
              <w:pageBreakBefore w:val="0"/>
              <w:kinsoku/>
              <w:wordWrap/>
              <w:overflowPunct/>
              <w:topLinePunct w:val="0"/>
              <w:autoSpaceDE/>
              <w:autoSpaceDN/>
              <w:bidi w:val="0"/>
              <w:adjustRightInd/>
              <w:spacing w:line="560" w:lineRule="exact"/>
              <w:ind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3．了解甲烷的物理性质和用途， 理解甲烷的氧化反应和取代反应。</w:t>
            </w:r>
          </w:p>
        </w:tc>
        <w:tc>
          <w:tcPr>
            <w:tcW w:w="3068"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主要采用讲授、讨论教学法。以教师讲授为主。在讲授过程中，教师可适当提出问题，让学生讨论， 以激发学生的学习兴趣。</w:t>
            </w:r>
          </w:p>
        </w:tc>
        <w:tc>
          <w:tcPr>
            <w:tcW w:w="719"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ascii="仿宋_GB2312" w:eastAsia="仿宋_GB2312"/>
                <w:color w:val="000000"/>
                <w:sz w:val="21"/>
                <w:szCs w:val="21"/>
              </w:rPr>
            </w:pPr>
            <w:r>
              <w:rPr>
                <w:rFonts w:ascii="仿宋_GB2312" w:eastAsia="仿宋_GB2312"/>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ascii="仿宋_GB2312" w:eastAsia="仿宋_GB2312"/>
                <w:color w:val="000000"/>
                <w:sz w:val="21"/>
                <w:szCs w:val="21"/>
              </w:rPr>
            </w:pPr>
            <w:r>
              <w:rPr>
                <w:rFonts w:hint="eastAsia" w:ascii="仿宋_GB2312" w:eastAsia="仿宋_GB2312"/>
                <w:color w:val="000000"/>
                <w:sz w:val="21"/>
                <w:szCs w:val="21"/>
              </w:rPr>
              <w:t>9</w:t>
            </w:r>
          </w:p>
        </w:tc>
        <w:tc>
          <w:tcPr>
            <w:tcW w:w="1178"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第三章</w:t>
            </w:r>
          </w:p>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第三节</w:t>
            </w:r>
          </w:p>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烃的含氧衍生物</w:t>
            </w:r>
          </w:p>
        </w:tc>
        <w:tc>
          <w:tcPr>
            <w:tcW w:w="3067" w:type="dxa"/>
            <w:vAlign w:val="center"/>
          </w:tcPr>
          <w:p>
            <w:pPr>
              <w:pStyle w:val="13"/>
              <w:keepNext w:val="0"/>
              <w:keepLines w:val="0"/>
              <w:pageBreakBefore w:val="0"/>
              <w:kinsoku/>
              <w:wordWrap/>
              <w:overflowPunct/>
              <w:topLinePunct w:val="0"/>
              <w:autoSpaceDE/>
              <w:autoSpaceDN/>
              <w:bidi w:val="0"/>
              <w:adjustRightInd/>
              <w:spacing w:line="560" w:lineRule="exact"/>
              <w:ind w:firstLine="48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1．了解乙醇的组成和结构， 理解乙醇与钠的反应， 乙醇的氧化反应、消去反应等性质及乙醇的用途。</w:t>
            </w:r>
          </w:p>
          <w:p>
            <w:pPr>
              <w:pStyle w:val="13"/>
              <w:keepNext w:val="0"/>
              <w:keepLines w:val="0"/>
              <w:pageBreakBefore w:val="0"/>
              <w:kinsoku/>
              <w:wordWrap/>
              <w:overflowPunct/>
              <w:topLinePunct w:val="0"/>
              <w:autoSpaceDE/>
              <w:autoSpaceDN/>
              <w:bidi w:val="0"/>
              <w:adjustRightInd/>
              <w:spacing w:line="560" w:lineRule="exact"/>
              <w:ind w:firstLine="48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2．了解苯酚的组成和结构， 理解苯酚的酸性、苯酚的氧化反应、 取代反应及苯酚的用途。</w:t>
            </w:r>
          </w:p>
          <w:p>
            <w:pPr>
              <w:pStyle w:val="13"/>
              <w:keepNext w:val="0"/>
              <w:keepLines w:val="0"/>
              <w:pageBreakBefore w:val="0"/>
              <w:kinsoku/>
              <w:wordWrap/>
              <w:overflowPunct/>
              <w:topLinePunct w:val="0"/>
              <w:autoSpaceDE/>
              <w:autoSpaceDN/>
              <w:bidi w:val="0"/>
              <w:adjustRightInd/>
              <w:spacing w:line="560" w:lineRule="exact"/>
              <w:ind w:firstLine="48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3.了解乙醛的组成和结构， 理解乙醛的还原反应、氧化反应及乙醛的用途。了解乙酸的组成和结构， 理解乙酸的酸性、 酯化反应及乙酸的用途。</w:t>
            </w:r>
          </w:p>
        </w:tc>
        <w:tc>
          <w:tcPr>
            <w:tcW w:w="3068"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乙醇、苯酚是烃的重要含氧衍生物，都含有羟基官能团，教材从它们分子结构上的不同，说明乙醇和苯酚在化学性质上的特殊性。 教学中， 教师可以采取启发式和边讲边做等方法进行教学。</w:t>
            </w:r>
          </w:p>
        </w:tc>
        <w:tc>
          <w:tcPr>
            <w:tcW w:w="719"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ascii="仿宋_GB2312" w:eastAsia="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ascii="仿宋_GB2312" w:eastAsia="仿宋_GB2312"/>
                <w:color w:val="000000"/>
                <w:sz w:val="21"/>
                <w:szCs w:val="21"/>
              </w:rPr>
            </w:pPr>
            <w:r>
              <w:rPr>
                <w:rFonts w:hint="eastAsia" w:ascii="仿宋_GB2312" w:eastAsia="仿宋_GB2312"/>
                <w:color w:val="000000"/>
                <w:sz w:val="21"/>
                <w:szCs w:val="21"/>
              </w:rPr>
              <w:t>1</w:t>
            </w:r>
            <w:r>
              <w:rPr>
                <w:rFonts w:ascii="仿宋_GB2312" w:eastAsia="仿宋_GB2312"/>
                <w:color w:val="000000"/>
                <w:sz w:val="21"/>
                <w:szCs w:val="21"/>
              </w:rPr>
              <w:t>0</w:t>
            </w:r>
          </w:p>
        </w:tc>
        <w:tc>
          <w:tcPr>
            <w:tcW w:w="1178"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第四章</w:t>
            </w:r>
          </w:p>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生命中的基础营养物质</w:t>
            </w:r>
          </w:p>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仿宋" w:hAnsi="仿宋" w:eastAsia="仿宋" w:cs="仿宋"/>
                <w:color w:val="000000"/>
                <w:sz w:val="21"/>
                <w:szCs w:val="21"/>
              </w:rPr>
            </w:pPr>
          </w:p>
        </w:tc>
        <w:tc>
          <w:tcPr>
            <w:tcW w:w="3067" w:type="dxa"/>
            <w:vAlign w:val="center"/>
          </w:tcPr>
          <w:p>
            <w:pPr>
              <w:pStyle w:val="13"/>
              <w:keepNext w:val="0"/>
              <w:keepLines w:val="0"/>
              <w:pageBreakBefore w:val="0"/>
              <w:kinsoku/>
              <w:wordWrap/>
              <w:overflowPunct/>
              <w:topLinePunct w:val="0"/>
              <w:autoSpaceDE/>
              <w:autoSpaceDN/>
              <w:bidi w:val="0"/>
              <w:adjustRightInd/>
              <w:spacing w:line="560" w:lineRule="exact"/>
              <w:ind w:firstLine="48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1.了解糖类的组成和分类， 理解葡萄糖的还原性和用途。</w:t>
            </w:r>
          </w:p>
          <w:p>
            <w:pPr>
              <w:pStyle w:val="13"/>
              <w:keepNext w:val="0"/>
              <w:keepLines w:val="0"/>
              <w:pageBreakBefore w:val="0"/>
              <w:kinsoku/>
              <w:wordWrap/>
              <w:overflowPunct/>
              <w:topLinePunct w:val="0"/>
              <w:autoSpaceDE/>
              <w:autoSpaceDN/>
              <w:bidi w:val="0"/>
              <w:adjustRightInd/>
              <w:spacing w:line="560" w:lineRule="exact"/>
              <w:ind w:firstLine="48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2.了解生命活动的物质基础——蛋白质</w:t>
            </w:r>
          </w:p>
          <w:p>
            <w:pPr>
              <w:pStyle w:val="13"/>
              <w:keepNext w:val="0"/>
              <w:keepLines w:val="0"/>
              <w:pageBreakBefore w:val="0"/>
              <w:kinsoku/>
              <w:wordWrap/>
              <w:overflowPunct/>
              <w:topLinePunct w:val="0"/>
              <w:autoSpaceDE/>
              <w:autoSpaceDN/>
              <w:bidi w:val="0"/>
              <w:adjustRightInd/>
              <w:spacing w:line="560" w:lineRule="exact"/>
              <w:ind w:firstLine="48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3.了解高分子化合物的概念、 结构特点和主要特性。掌握塑料、 合成纤维和合成橡胶三大有机合成材料及用途。</w:t>
            </w:r>
          </w:p>
        </w:tc>
        <w:tc>
          <w:tcPr>
            <w:tcW w:w="3068"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借助课件，展示日常生活中人们经常食用的食物、水果、 蔬菜等图片，激发学生学习兴趣；同时，通过实验演示或边做边讲，师生共同归纳，获得新知。</w:t>
            </w:r>
          </w:p>
        </w:tc>
        <w:tc>
          <w:tcPr>
            <w:tcW w:w="719"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ascii="仿宋_GB2312" w:eastAsia="仿宋_GB2312"/>
                <w:color w:val="000000"/>
                <w:sz w:val="21"/>
                <w:szCs w:val="21"/>
              </w:rPr>
            </w:pPr>
            <w:r>
              <w:rPr>
                <w:rFonts w:hint="eastAsia" w:ascii="仿宋_GB2312" w:eastAsia="仿宋_GB2312"/>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tcPr>
          <w:p>
            <w:pPr>
              <w:pStyle w:val="13"/>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eastAsia="仿宋_GB2312"/>
                <w:color w:val="000000"/>
                <w:szCs w:val="24"/>
              </w:rPr>
            </w:pPr>
          </w:p>
        </w:tc>
        <w:tc>
          <w:tcPr>
            <w:tcW w:w="1178"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总计</w:t>
            </w:r>
          </w:p>
        </w:tc>
        <w:tc>
          <w:tcPr>
            <w:tcW w:w="3067" w:type="dxa"/>
          </w:tcPr>
          <w:p>
            <w:pPr>
              <w:pStyle w:val="13"/>
              <w:keepNext w:val="0"/>
              <w:keepLines w:val="0"/>
              <w:pageBreakBefore w:val="0"/>
              <w:kinsoku/>
              <w:wordWrap/>
              <w:overflowPunct/>
              <w:topLinePunct w:val="0"/>
              <w:autoSpaceDE/>
              <w:autoSpaceDN/>
              <w:bidi w:val="0"/>
              <w:adjustRightInd/>
              <w:spacing w:line="560" w:lineRule="exact"/>
              <w:ind w:firstLine="0" w:firstLineChars="0"/>
              <w:textAlignment w:val="auto"/>
              <w:rPr>
                <w:rFonts w:hint="eastAsia" w:ascii="仿宋" w:hAnsi="仿宋" w:eastAsia="仿宋" w:cs="仿宋"/>
                <w:color w:val="000000"/>
                <w:sz w:val="21"/>
                <w:szCs w:val="21"/>
              </w:rPr>
            </w:pPr>
          </w:p>
        </w:tc>
        <w:tc>
          <w:tcPr>
            <w:tcW w:w="3068" w:type="dxa"/>
          </w:tcPr>
          <w:p>
            <w:pPr>
              <w:pStyle w:val="13"/>
              <w:keepNext w:val="0"/>
              <w:keepLines w:val="0"/>
              <w:pageBreakBefore w:val="0"/>
              <w:kinsoku/>
              <w:wordWrap/>
              <w:overflowPunct/>
              <w:topLinePunct w:val="0"/>
              <w:autoSpaceDE/>
              <w:autoSpaceDN/>
              <w:bidi w:val="0"/>
              <w:adjustRightInd/>
              <w:spacing w:line="560" w:lineRule="exact"/>
              <w:ind w:firstLine="0" w:firstLineChars="0"/>
              <w:textAlignment w:val="auto"/>
              <w:rPr>
                <w:rFonts w:hint="eastAsia" w:ascii="仿宋" w:hAnsi="仿宋" w:eastAsia="仿宋" w:cs="仿宋"/>
                <w:color w:val="000000"/>
                <w:sz w:val="21"/>
                <w:szCs w:val="21"/>
              </w:rPr>
            </w:pPr>
          </w:p>
        </w:tc>
        <w:tc>
          <w:tcPr>
            <w:tcW w:w="719" w:type="dxa"/>
            <w:vAlign w:val="center"/>
          </w:tcPr>
          <w:p>
            <w:pPr>
              <w:pStyle w:val="13"/>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ascii="仿宋_GB2312" w:eastAsia="仿宋_GB2312"/>
                <w:color w:val="000000"/>
                <w:szCs w:val="24"/>
              </w:rPr>
            </w:pPr>
            <w:r>
              <w:rPr>
                <w:rFonts w:ascii="仿宋_GB2312" w:eastAsia="仿宋_GB2312"/>
                <w:color w:val="000000"/>
                <w:sz w:val="21"/>
                <w:szCs w:val="21"/>
              </w:rPr>
              <w:t>64</w:t>
            </w:r>
          </w:p>
        </w:tc>
      </w:tr>
    </w:tbl>
    <w:p>
      <w:pPr>
        <w:pStyle w:val="13"/>
        <w:keepNext w:val="0"/>
        <w:keepLines w:val="0"/>
        <w:pageBreakBefore w:val="0"/>
        <w:kinsoku/>
        <w:wordWrap/>
        <w:overflowPunct/>
        <w:topLinePunct w:val="0"/>
        <w:autoSpaceDE/>
        <w:autoSpaceDN/>
        <w:bidi w:val="0"/>
        <w:adjustRightInd/>
        <w:snapToGrid w:val="0"/>
        <w:spacing w:line="560" w:lineRule="exact"/>
        <w:ind w:firstLine="640"/>
        <w:textAlignment w:val="auto"/>
        <w:rPr>
          <w:rFonts w:ascii="黑体" w:eastAsia="黑体"/>
          <w:color w:val="000000"/>
          <w:sz w:val="32"/>
          <w:szCs w:val="32"/>
        </w:rPr>
      </w:pPr>
      <w:r>
        <w:rPr>
          <w:rFonts w:hint="eastAsia" w:ascii="黑体" w:eastAsia="黑体"/>
          <w:color w:val="000000"/>
          <w:sz w:val="32"/>
          <w:szCs w:val="32"/>
        </w:rPr>
        <w:t>四、考核评价</w:t>
      </w:r>
    </w:p>
    <w:p>
      <w:pPr>
        <w:pStyle w:val="3"/>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（一）课程教学评价</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（1）对学习过程的评价与对学习结果的评价相统一的原则。既不仅要关注对学生学习结果的最后判断，更要关注学习过程的发展、变化状态，随时把握它们的发展态势，使之不断得到调节和完善。</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（2）教师评价与学生自我评价和相互评价相统一的原则。即评价的主体应多样化。</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（3）对学生智力因素与非智力因素评价相统一的原则，既评价的内容应是全方位，多层次的，既包括对学生知识、技能、能力的评价，也包括对学生态度情感和行为等的评价。</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（4） 关注评价的多元化，结合课堂提问、学生作业、平时测验、实验实训、技能竞赛及考试情况，综合评定学生成绩。</w:t>
      </w:r>
    </w:p>
    <w:p>
      <w:pPr>
        <w:pStyle w:val="3"/>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（二）课程考核</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根据学院教学管理的有关规定，旨在突出以综合应用能力培养为主线的高职教育特色，提高教学的质量和效率，激励学生参与教学的积极性、主动性，创造性，开发学生的潜能，制定如下考核方案：</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（1）考核形式</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过程考核 + 实践考核（总评=过程考核成绩×30%+期末实践成绩×70％）；</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过程考核成绩：包括出勤情况、听课情况、各个项目的训练成绩；</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实践考核成绩：期终实践考试成绩。　　</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（2）考核评价表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775"/>
        <w:gridCol w:w="2475"/>
        <w:gridCol w:w="2168"/>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jc w:val="center"/>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序号</w:t>
            </w:r>
          </w:p>
        </w:tc>
        <w:tc>
          <w:tcPr>
            <w:tcW w:w="1775"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jc w:val="center"/>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主要内容</w:t>
            </w:r>
          </w:p>
        </w:tc>
        <w:tc>
          <w:tcPr>
            <w:tcW w:w="2475"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jc w:val="center"/>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考核要求</w:t>
            </w:r>
          </w:p>
        </w:tc>
        <w:tc>
          <w:tcPr>
            <w:tcW w:w="2168"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jc w:val="center"/>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评分标准</w:t>
            </w:r>
          </w:p>
        </w:tc>
        <w:tc>
          <w:tcPr>
            <w:tcW w:w="1382"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jc w:val="center"/>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分数分配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jc w:val="center"/>
              <w:textAlignment w:val="auto"/>
              <w:rPr>
                <w:rFonts w:hint="eastAsia" w:ascii="仿宋" w:hAnsi="仿宋" w:eastAsia="仿宋" w:cs="仿宋"/>
                <w:color w:val="auto"/>
                <w:kern w:val="2"/>
                <w:sz w:val="21"/>
                <w:szCs w:val="21"/>
                <w:lang w:val="en-US" w:eastAsia="en-US" w:bidi="ar-SA"/>
              </w:rPr>
            </w:pPr>
            <w:r>
              <w:rPr>
                <w:rFonts w:hint="eastAsia" w:ascii="仿宋" w:hAnsi="仿宋" w:eastAsia="仿宋" w:cs="仿宋"/>
                <w:color w:val="auto"/>
                <w:kern w:val="2"/>
                <w:sz w:val="21"/>
                <w:szCs w:val="21"/>
                <w:lang w:val="en-US" w:eastAsia="en-US" w:bidi="ar-SA"/>
              </w:rPr>
              <w:t>1</w:t>
            </w:r>
          </w:p>
        </w:tc>
        <w:tc>
          <w:tcPr>
            <w:tcW w:w="1775"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20" w:firstLineChars="200"/>
              <w:jc w:val="both"/>
              <w:textAlignment w:val="auto"/>
              <w:rPr>
                <w:rFonts w:hint="eastAsia" w:ascii="仿宋" w:hAnsi="仿宋" w:eastAsia="仿宋" w:cs="仿宋"/>
                <w:color w:val="auto"/>
                <w:kern w:val="2"/>
                <w:sz w:val="21"/>
                <w:szCs w:val="21"/>
                <w:lang w:val="en-US" w:eastAsia="en-US" w:bidi="ar-SA"/>
              </w:rPr>
            </w:pPr>
            <w:r>
              <w:rPr>
                <w:rFonts w:hint="eastAsia" w:ascii="仿宋" w:hAnsi="仿宋" w:eastAsia="仿宋" w:cs="仿宋"/>
                <w:color w:val="auto"/>
                <w:kern w:val="2"/>
                <w:sz w:val="21"/>
                <w:szCs w:val="21"/>
                <w:lang w:val="en-US" w:eastAsia="en-US" w:bidi="ar-SA"/>
              </w:rPr>
              <w:t>考勤表</w:t>
            </w:r>
          </w:p>
        </w:tc>
        <w:tc>
          <w:tcPr>
            <w:tcW w:w="2475"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jc w:val="center"/>
              <w:textAlignment w:val="auto"/>
              <w:rPr>
                <w:rFonts w:hint="eastAsia" w:ascii="仿宋" w:hAnsi="仿宋" w:eastAsia="仿宋" w:cs="仿宋"/>
                <w:color w:val="auto"/>
                <w:kern w:val="2"/>
                <w:sz w:val="21"/>
                <w:szCs w:val="21"/>
                <w:lang w:val="en-US" w:eastAsia="en-US" w:bidi="ar-SA"/>
              </w:rPr>
            </w:pPr>
            <w:r>
              <w:rPr>
                <w:rFonts w:hint="eastAsia" w:ascii="仿宋" w:hAnsi="仿宋" w:eastAsia="仿宋" w:cs="仿宋"/>
                <w:color w:val="auto"/>
                <w:kern w:val="2"/>
                <w:sz w:val="21"/>
                <w:szCs w:val="21"/>
                <w:lang w:val="en-US" w:eastAsia="en-US" w:bidi="ar-SA"/>
              </w:rPr>
              <w:t>上课不迟到、不早退</w:t>
            </w:r>
          </w:p>
        </w:tc>
        <w:tc>
          <w:tcPr>
            <w:tcW w:w="2168"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jc w:val="center"/>
              <w:textAlignment w:val="auto"/>
              <w:rPr>
                <w:rFonts w:hint="eastAsia" w:ascii="仿宋" w:hAnsi="仿宋" w:eastAsia="仿宋" w:cs="仿宋"/>
                <w:color w:val="auto"/>
                <w:kern w:val="2"/>
                <w:sz w:val="21"/>
                <w:szCs w:val="21"/>
                <w:lang w:val="en-US" w:eastAsia="en-US" w:bidi="ar-SA"/>
              </w:rPr>
            </w:pPr>
            <w:r>
              <w:rPr>
                <w:rFonts w:hint="eastAsia" w:ascii="仿宋" w:hAnsi="仿宋" w:eastAsia="仿宋" w:cs="仿宋"/>
                <w:color w:val="auto"/>
                <w:kern w:val="2"/>
                <w:sz w:val="21"/>
                <w:szCs w:val="21"/>
                <w:lang w:val="en-US" w:eastAsia="en-US" w:bidi="ar-SA"/>
              </w:rPr>
              <w:t>出勤一次2分，共2分/次*36次=72分</w:t>
            </w:r>
          </w:p>
        </w:tc>
        <w:tc>
          <w:tcPr>
            <w:tcW w:w="1382"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jc w:val="center"/>
              <w:textAlignment w:val="auto"/>
              <w:rPr>
                <w:rFonts w:hint="eastAsia" w:ascii="仿宋" w:hAnsi="仿宋" w:eastAsia="仿宋" w:cs="仿宋"/>
                <w:color w:val="auto"/>
                <w:kern w:val="2"/>
                <w:sz w:val="21"/>
                <w:szCs w:val="21"/>
                <w:lang w:val="en-US" w:eastAsia="en-US" w:bidi="ar-SA"/>
              </w:rPr>
            </w:pPr>
            <w:r>
              <w:rPr>
                <w:rFonts w:hint="eastAsia" w:ascii="仿宋" w:hAnsi="仿宋" w:eastAsia="仿宋" w:cs="仿宋"/>
                <w:color w:val="auto"/>
                <w:kern w:val="2"/>
                <w:sz w:val="21"/>
                <w:szCs w:val="21"/>
                <w:lang w:val="en-US" w:eastAsia="en-US"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jc w:val="center"/>
              <w:textAlignment w:val="auto"/>
              <w:rPr>
                <w:rFonts w:hint="eastAsia" w:ascii="仿宋" w:hAnsi="仿宋" w:eastAsia="仿宋" w:cs="仿宋"/>
                <w:color w:val="auto"/>
                <w:kern w:val="2"/>
                <w:sz w:val="21"/>
                <w:szCs w:val="21"/>
                <w:lang w:val="en-US" w:eastAsia="en-US" w:bidi="ar-SA"/>
              </w:rPr>
            </w:pPr>
            <w:r>
              <w:rPr>
                <w:rFonts w:hint="eastAsia" w:ascii="仿宋" w:hAnsi="仿宋" w:eastAsia="仿宋" w:cs="仿宋"/>
                <w:color w:val="auto"/>
                <w:kern w:val="2"/>
                <w:sz w:val="21"/>
                <w:szCs w:val="21"/>
                <w:lang w:val="en-US" w:eastAsia="en-US" w:bidi="ar-SA"/>
              </w:rPr>
              <w:t>2</w:t>
            </w:r>
          </w:p>
        </w:tc>
        <w:tc>
          <w:tcPr>
            <w:tcW w:w="1775"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jc w:val="center"/>
              <w:textAlignment w:val="auto"/>
              <w:rPr>
                <w:rFonts w:hint="eastAsia" w:ascii="仿宋" w:hAnsi="仿宋" w:eastAsia="仿宋" w:cs="仿宋"/>
                <w:color w:val="auto"/>
                <w:kern w:val="2"/>
                <w:sz w:val="21"/>
                <w:szCs w:val="21"/>
                <w:lang w:val="en-US" w:eastAsia="en-US" w:bidi="ar-SA"/>
              </w:rPr>
            </w:pPr>
            <w:r>
              <w:rPr>
                <w:rFonts w:hint="eastAsia" w:ascii="仿宋" w:hAnsi="仿宋" w:eastAsia="仿宋" w:cs="仿宋"/>
                <w:color w:val="auto"/>
                <w:kern w:val="2"/>
                <w:sz w:val="21"/>
                <w:szCs w:val="21"/>
                <w:lang w:val="en-US" w:eastAsia="en-US" w:bidi="ar-SA"/>
              </w:rPr>
              <w:t>课堂表现记录</w:t>
            </w:r>
          </w:p>
        </w:tc>
        <w:tc>
          <w:tcPr>
            <w:tcW w:w="2475"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jc w:val="left"/>
              <w:textAlignment w:val="auto"/>
              <w:rPr>
                <w:rFonts w:hint="eastAsia" w:ascii="仿宋" w:hAnsi="仿宋" w:eastAsia="仿宋" w:cs="仿宋"/>
                <w:color w:val="auto"/>
                <w:kern w:val="2"/>
                <w:sz w:val="21"/>
                <w:szCs w:val="21"/>
                <w:lang w:val="en-US" w:eastAsia="en-US" w:bidi="ar-SA"/>
              </w:rPr>
            </w:pPr>
            <w:r>
              <w:rPr>
                <w:rFonts w:hint="eastAsia" w:ascii="仿宋" w:hAnsi="仿宋" w:eastAsia="仿宋" w:cs="仿宋"/>
                <w:color w:val="auto"/>
                <w:kern w:val="2"/>
                <w:sz w:val="21"/>
                <w:szCs w:val="21"/>
                <w:lang w:val="en-US" w:eastAsia="en-US" w:bidi="ar-SA"/>
              </w:rPr>
              <w:t>认真听讲、积极回答老师提问</w:t>
            </w:r>
          </w:p>
        </w:tc>
        <w:tc>
          <w:tcPr>
            <w:tcW w:w="2168"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jc w:val="left"/>
              <w:textAlignment w:val="auto"/>
              <w:rPr>
                <w:rFonts w:hint="eastAsia" w:ascii="仿宋" w:hAnsi="仿宋" w:eastAsia="仿宋" w:cs="仿宋"/>
                <w:color w:val="auto"/>
                <w:kern w:val="2"/>
                <w:sz w:val="21"/>
                <w:szCs w:val="21"/>
                <w:lang w:val="en-US" w:eastAsia="en-US" w:bidi="ar-SA"/>
              </w:rPr>
            </w:pPr>
            <w:r>
              <w:rPr>
                <w:rFonts w:hint="eastAsia" w:ascii="仿宋" w:hAnsi="仿宋" w:eastAsia="仿宋" w:cs="仿宋"/>
                <w:color w:val="auto"/>
                <w:kern w:val="2"/>
                <w:sz w:val="21"/>
                <w:szCs w:val="21"/>
                <w:lang w:val="en-US" w:eastAsia="en-US" w:bidi="ar-SA"/>
              </w:rPr>
              <w:t>主动回答老师提问奖励2分</w:t>
            </w:r>
          </w:p>
        </w:tc>
        <w:tc>
          <w:tcPr>
            <w:tcW w:w="1382"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jc w:val="center"/>
              <w:textAlignment w:val="auto"/>
              <w:rPr>
                <w:rFonts w:hint="eastAsia" w:ascii="仿宋" w:hAnsi="仿宋" w:eastAsia="仿宋" w:cs="仿宋"/>
                <w:color w:val="auto"/>
                <w:kern w:val="2"/>
                <w:sz w:val="21"/>
                <w:szCs w:val="21"/>
                <w:lang w:val="en-US" w:eastAsia="en-US" w:bidi="ar-SA"/>
              </w:rPr>
            </w:pPr>
            <w:r>
              <w:rPr>
                <w:rFonts w:hint="eastAsia" w:ascii="仿宋" w:hAnsi="仿宋" w:eastAsia="仿宋" w:cs="仿宋"/>
                <w:color w:val="auto"/>
                <w:kern w:val="2"/>
                <w:sz w:val="21"/>
                <w:szCs w:val="21"/>
                <w:lang w:val="en-US" w:eastAsia="en-US"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jc w:val="center"/>
              <w:textAlignment w:val="auto"/>
              <w:rPr>
                <w:rFonts w:hint="eastAsia" w:ascii="仿宋" w:hAnsi="仿宋" w:eastAsia="仿宋" w:cs="仿宋"/>
                <w:color w:val="auto"/>
                <w:kern w:val="2"/>
                <w:sz w:val="21"/>
                <w:szCs w:val="21"/>
                <w:lang w:val="en-US" w:eastAsia="en-US" w:bidi="ar-SA"/>
              </w:rPr>
            </w:pPr>
            <w:r>
              <w:rPr>
                <w:rFonts w:hint="eastAsia" w:ascii="仿宋" w:hAnsi="仿宋" w:eastAsia="仿宋" w:cs="仿宋"/>
                <w:color w:val="auto"/>
                <w:kern w:val="2"/>
                <w:sz w:val="21"/>
                <w:szCs w:val="21"/>
                <w:lang w:val="en-US" w:eastAsia="en-US" w:bidi="ar-SA"/>
              </w:rPr>
              <w:t>3</w:t>
            </w:r>
          </w:p>
        </w:tc>
        <w:tc>
          <w:tcPr>
            <w:tcW w:w="1775"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jc w:val="center"/>
              <w:textAlignment w:val="auto"/>
              <w:rPr>
                <w:rFonts w:hint="eastAsia" w:ascii="仿宋" w:hAnsi="仿宋" w:eastAsia="仿宋" w:cs="仿宋"/>
                <w:color w:val="auto"/>
                <w:kern w:val="2"/>
                <w:sz w:val="21"/>
                <w:szCs w:val="21"/>
                <w:lang w:val="en-US" w:eastAsia="en-US" w:bidi="ar-SA"/>
              </w:rPr>
            </w:pPr>
            <w:r>
              <w:rPr>
                <w:rFonts w:hint="eastAsia" w:ascii="仿宋" w:hAnsi="仿宋" w:eastAsia="仿宋" w:cs="仿宋"/>
                <w:color w:val="auto"/>
                <w:kern w:val="2"/>
                <w:sz w:val="21"/>
                <w:szCs w:val="21"/>
                <w:lang w:val="en-US" w:eastAsia="en-US" w:bidi="ar-SA"/>
              </w:rPr>
              <w:t>课后作业</w:t>
            </w:r>
          </w:p>
        </w:tc>
        <w:tc>
          <w:tcPr>
            <w:tcW w:w="2475"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jc w:val="left"/>
              <w:textAlignment w:val="auto"/>
              <w:rPr>
                <w:rFonts w:hint="eastAsia" w:ascii="仿宋" w:hAnsi="仿宋" w:eastAsia="仿宋" w:cs="仿宋"/>
                <w:color w:val="auto"/>
                <w:kern w:val="2"/>
                <w:sz w:val="21"/>
                <w:szCs w:val="21"/>
                <w:lang w:val="en-US" w:eastAsia="en-US" w:bidi="ar-SA"/>
              </w:rPr>
            </w:pPr>
            <w:r>
              <w:rPr>
                <w:rFonts w:hint="eastAsia" w:ascii="仿宋" w:hAnsi="仿宋" w:eastAsia="仿宋" w:cs="仿宋"/>
                <w:color w:val="auto"/>
                <w:kern w:val="2"/>
                <w:sz w:val="21"/>
                <w:szCs w:val="21"/>
                <w:lang w:val="en-US" w:eastAsia="en-US" w:bidi="ar-SA"/>
              </w:rPr>
              <w:t>完成认真，正确，态度良好</w:t>
            </w:r>
          </w:p>
        </w:tc>
        <w:tc>
          <w:tcPr>
            <w:tcW w:w="2168"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jc w:val="center"/>
              <w:textAlignment w:val="auto"/>
              <w:rPr>
                <w:rFonts w:hint="eastAsia" w:ascii="仿宋" w:hAnsi="仿宋" w:eastAsia="仿宋" w:cs="仿宋"/>
                <w:color w:val="auto"/>
                <w:kern w:val="2"/>
                <w:sz w:val="21"/>
                <w:szCs w:val="21"/>
                <w:lang w:val="en-US" w:eastAsia="en-US" w:bidi="ar-SA"/>
              </w:rPr>
            </w:pPr>
            <w:r>
              <w:rPr>
                <w:rFonts w:hint="eastAsia" w:ascii="仿宋" w:hAnsi="仿宋" w:eastAsia="仿宋" w:cs="仿宋"/>
                <w:color w:val="auto"/>
                <w:kern w:val="2"/>
                <w:sz w:val="21"/>
                <w:szCs w:val="21"/>
                <w:lang w:val="en-US" w:eastAsia="en-US" w:bidi="ar-SA"/>
              </w:rPr>
              <w:t>每次作业按100分计，最后计算平均分</w:t>
            </w:r>
          </w:p>
        </w:tc>
        <w:tc>
          <w:tcPr>
            <w:tcW w:w="1382"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jc w:val="center"/>
              <w:textAlignment w:val="auto"/>
              <w:rPr>
                <w:rFonts w:hint="eastAsia" w:ascii="仿宋" w:hAnsi="仿宋" w:eastAsia="仿宋" w:cs="仿宋"/>
                <w:color w:val="auto"/>
                <w:kern w:val="2"/>
                <w:sz w:val="21"/>
                <w:szCs w:val="21"/>
                <w:lang w:val="en-US" w:eastAsia="en-US" w:bidi="ar-SA"/>
              </w:rPr>
            </w:pPr>
            <w:r>
              <w:rPr>
                <w:rFonts w:hint="eastAsia" w:ascii="仿宋" w:hAnsi="仿宋" w:eastAsia="仿宋" w:cs="仿宋"/>
                <w:color w:val="auto"/>
                <w:kern w:val="2"/>
                <w:sz w:val="21"/>
                <w:szCs w:val="21"/>
                <w:lang w:val="en-US" w:eastAsia="en-US"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jc w:val="center"/>
              <w:textAlignment w:val="auto"/>
              <w:rPr>
                <w:rFonts w:hint="eastAsia" w:ascii="仿宋" w:hAnsi="仿宋" w:eastAsia="仿宋" w:cs="仿宋"/>
                <w:color w:val="auto"/>
                <w:kern w:val="2"/>
                <w:sz w:val="21"/>
                <w:szCs w:val="21"/>
                <w:lang w:val="en-US" w:eastAsia="en-US" w:bidi="ar-SA"/>
              </w:rPr>
            </w:pPr>
            <w:r>
              <w:rPr>
                <w:rFonts w:hint="eastAsia" w:ascii="仿宋" w:hAnsi="仿宋" w:eastAsia="仿宋" w:cs="仿宋"/>
                <w:color w:val="auto"/>
                <w:kern w:val="2"/>
                <w:sz w:val="21"/>
                <w:szCs w:val="21"/>
                <w:lang w:val="en-US" w:eastAsia="en-US" w:bidi="ar-SA"/>
              </w:rPr>
              <w:t>4</w:t>
            </w:r>
          </w:p>
        </w:tc>
        <w:tc>
          <w:tcPr>
            <w:tcW w:w="1775"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20" w:firstLineChars="200"/>
              <w:jc w:val="both"/>
              <w:textAlignment w:val="auto"/>
              <w:rPr>
                <w:rFonts w:hint="eastAsia" w:ascii="仿宋" w:hAnsi="仿宋" w:eastAsia="仿宋" w:cs="仿宋"/>
                <w:color w:val="auto"/>
                <w:kern w:val="2"/>
                <w:sz w:val="21"/>
                <w:szCs w:val="21"/>
                <w:lang w:val="en-US" w:eastAsia="en-US" w:bidi="ar-SA"/>
              </w:rPr>
            </w:pPr>
            <w:r>
              <w:rPr>
                <w:rFonts w:hint="eastAsia" w:ascii="仿宋" w:hAnsi="仿宋" w:eastAsia="仿宋" w:cs="仿宋"/>
                <w:color w:val="auto"/>
                <w:kern w:val="2"/>
                <w:sz w:val="21"/>
                <w:szCs w:val="21"/>
                <w:lang w:val="en-US" w:eastAsia="en-US" w:bidi="ar-SA"/>
              </w:rPr>
              <w:t>期末考试</w:t>
            </w:r>
          </w:p>
        </w:tc>
        <w:tc>
          <w:tcPr>
            <w:tcW w:w="2475"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jc w:val="both"/>
              <w:textAlignment w:val="auto"/>
              <w:rPr>
                <w:rFonts w:hint="eastAsia" w:ascii="仿宋" w:hAnsi="仿宋" w:eastAsia="仿宋" w:cs="仿宋"/>
                <w:color w:val="auto"/>
                <w:kern w:val="2"/>
                <w:sz w:val="21"/>
                <w:szCs w:val="21"/>
                <w:lang w:val="en-US" w:eastAsia="en-US" w:bidi="ar-SA"/>
              </w:rPr>
            </w:pPr>
            <w:r>
              <w:rPr>
                <w:rFonts w:hint="eastAsia" w:ascii="仿宋" w:hAnsi="仿宋" w:eastAsia="仿宋" w:cs="仿宋"/>
                <w:color w:val="auto"/>
                <w:kern w:val="2"/>
                <w:sz w:val="21"/>
                <w:szCs w:val="21"/>
                <w:lang w:val="en-US" w:eastAsia="en-US" w:bidi="ar-SA"/>
              </w:rPr>
              <w:t>步骤完整，答案正确</w:t>
            </w:r>
          </w:p>
        </w:tc>
        <w:tc>
          <w:tcPr>
            <w:tcW w:w="2168"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jc w:val="both"/>
              <w:textAlignment w:val="auto"/>
              <w:rPr>
                <w:rFonts w:hint="eastAsia" w:ascii="仿宋" w:hAnsi="仿宋" w:eastAsia="仿宋" w:cs="仿宋"/>
                <w:color w:val="auto"/>
                <w:kern w:val="2"/>
                <w:sz w:val="21"/>
                <w:szCs w:val="21"/>
                <w:lang w:val="en-US" w:eastAsia="en-US" w:bidi="ar-SA"/>
              </w:rPr>
            </w:pPr>
            <w:r>
              <w:rPr>
                <w:rFonts w:hint="eastAsia" w:ascii="仿宋" w:hAnsi="仿宋" w:eastAsia="仿宋" w:cs="仿宋"/>
                <w:color w:val="auto"/>
                <w:kern w:val="2"/>
                <w:sz w:val="21"/>
                <w:szCs w:val="21"/>
                <w:lang w:val="en-US" w:eastAsia="en-US" w:bidi="ar-SA"/>
              </w:rPr>
              <w:t>按卷面成绩给分</w:t>
            </w:r>
          </w:p>
        </w:tc>
        <w:tc>
          <w:tcPr>
            <w:tcW w:w="1382"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jc w:val="center"/>
              <w:textAlignment w:val="auto"/>
              <w:rPr>
                <w:rFonts w:hint="eastAsia" w:ascii="仿宋" w:hAnsi="仿宋" w:eastAsia="仿宋" w:cs="仿宋"/>
                <w:color w:val="auto"/>
                <w:kern w:val="2"/>
                <w:sz w:val="21"/>
                <w:szCs w:val="21"/>
                <w:lang w:val="en-US" w:eastAsia="en-US" w:bidi="ar-SA"/>
              </w:rPr>
            </w:pPr>
            <w:r>
              <w:rPr>
                <w:rFonts w:hint="eastAsia" w:ascii="仿宋" w:hAnsi="仿宋" w:eastAsia="仿宋" w:cs="仿宋"/>
                <w:color w:val="auto"/>
                <w:kern w:val="2"/>
                <w:sz w:val="21"/>
                <w:szCs w:val="21"/>
                <w:lang w:val="en-US" w:eastAsia="en-US" w:bidi="ar-SA"/>
              </w:rPr>
              <w:t>70%</w:t>
            </w:r>
          </w:p>
        </w:tc>
      </w:tr>
    </w:tbl>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以过程性考核综合评定成绩，采用百分制。其中，课堂考勤30%，期末考查70%。</w:t>
      </w:r>
    </w:p>
    <w:p>
      <w:pPr>
        <w:pStyle w:val="13"/>
        <w:keepNext w:val="0"/>
        <w:keepLines w:val="0"/>
        <w:pageBreakBefore w:val="0"/>
        <w:kinsoku/>
        <w:wordWrap/>
        <w:overflowPunct/>
        <w:topLinePunct w:val="0"/>
        <w:autoSpaceDE/>
        <w:autoSpaceDN/>
        <w:bidi w:val="0"/>
        <w:adjustRightInd/>
        <w:snapToGrid w:val="0"/>
        <w:spacing w:line="560" w:lineRule="exact"/>
        <w:ind w:firstLine="640"/>
        <w:textAlignment w:val="auto"/>
        <w:rPr>
          <w:rFonts w:ascii="黑体" w:eastAsia="黑体"/>
          <w:color w:val="000000"/>
          <w:sz w:val="32"/>
          <w:szCs w:val="32"/>
        </w:rPr>
      </w:pPr>
      <w:r>
        <w:rPr>
          <w:rFonts w:hint="eastAsia" w:ascii="黑体" w:eastAsia="黑体"/>
          <w:color w:val="000000"/>
          <w:sz w:val="32"/>
          <w:szCs w:val="32"/>
        </w:rPr>
        <w:t>五、课程资源及使用要求</w:t>
      </w:r>
    </w:p>
    <w:p>
      <w:pPr>
        <w:pStyle w:val="3"/>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（一）师资条件要求</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1、认真做好教学常规，确保教学有效开展</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认真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认真上好每节课，积极实践新课程理念，把握好课堂，提高课堂教学的实效性。精心设置习题，合理、分层布置学生作业，书面作业要求全批全改；精选习题，并要达到一定的预期效果。对化学有特殊爱好的同学，在适当的时间，给予奥赛方面的指导。可以利用课余时间进行具体的辅导，并布置较高要求的作业，以促进尖子生的发展。</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2、积极开展实验教学，提高学生学习兴趣</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3、积极开展教研活动，提高教学业务能力</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（1）学习化学课程标准，明确新课程的具体要求，利用集体备课活动时间，认真学习新课程教学理念，深入研究教育教学方法。</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2）定时进行备课组内老师之间的交流。每个教学环节、每个教案、学案都在讨论中确定，先形成共案，然后再根据各班和各任课老师的情况形成个案；备课组每周进行一次教研活动，内容包括有关教学进度的安排、疑难问题的分析讨论研究，化学教学的最新动态、化学教学的改革与创新等。</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3）积极参加教学改革工作。要使学生参与到教学的过程中来，更好地提高他们学习的兴趣和积极性，使他们更自主地学习，学会学习的方法。都能积极响应学校教学改革的要求，充分利用网上资源，使用启发式教学，充分体现以学生为主体的教学模式，不断提高自身的教学水平。</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（4）组织老师相互听课，增加交流机会,在相互学习的基础上，共同提高教学水平。加强青年教师的培养，使他们尽快的成为教学的骨干力量。</w:t>
      </w:r>
    </w:p>
    <w:p>
      <w:pPr>
        <w:pStyle w:val="3"/>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（二）实训教学条件要求</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教学的问题可分为概念问题、方法问题、思想问题、计算问题、推论问题、应用问题以及实际操作或模拟实现等问题。教师组织教学就是要引导和帮助学生或激励和启发学生一一解决这些问题。要让学生置身于问题之中，有获得问题解决的成就感，也有乐于和敢于面对新问题挑战的紧张感。这可以大大提高学生的分析问题解决问题的能力，实际应用的能力，知识拓展的能力，以及总体把握的能力；而且这对提高团队协作能力和科学的素质有极大的帮助。</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为促进“问题解决”的实现，必须创立良好的教学环境。多媒体辅助教学就是一种重要的手段。多媒体辅助教学的突出功能就是信息交换量大，而且实时快捷，另一个突出功能就是形象直观，易于接受。另外设立相关资料库、报告会、专题讨论、分组讨论等都是可考虑采用的手段。</w:t>
      </w:r>
    </w:p>
    <w:p>
      <w:pPr>
        <w:pStyle w:val="3"/>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（三）教材选用</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授课选用的教材：常春英主编《化学》（通用版），航空工业出版社，2021年版。</w:t>
      </w:r>
    </w:p>
    <w:p>
      <w:pPr>
        <w:pStyle w:val="13"/>
        <w:keepNext w:val="0"/>
        <w:keepLines w:val="0"/>
        <w:pageBreakBefore w:val="0"/>
        <w:kinsoku/>
        <w:wordWrap/>
        <w:overflowPunct/>
        <w:topLinePunct w:val="0"/>
        <w:autoSpaceDE/>
        <w:autoSpaceDN/>
        <w:bidi w:val="0"/>
        <w:adjustRightInd/>
        <w:snapToGrid w:val="0"/>
        <w:spacing w:line="560" w:lineRule="exact"/>
        <w:ind w:firstLine="640"/>
        <w:textAlignment w:val="auto"/>
        <w:rPr>
          <w:rFonts w:ascii="黑体" w:eastAsia="黑体"/>
          <w:color w:val="000000"/>
          <w:sz w:val="32"/>
          <w:szCs w:val="32"/>
        </w:rPr>
      </w:pPr>
      <w:r>
        <w:rPr>
          <w:rFonts w:hint="eastAsia" w:ascii="黑体" w:eastAsia="黑体"/>
          <w:color w:val="000000"/>
          <w:sz w:val="32"/>
          <w:szCs w:val="32"/>
        </w:rPr>
        <w:t>六、课程实施建议及其他说明</w:t>
      </w:r>
    </w:p>
    <w:p>
      <w:pPr>
        <w:pStyle w:val="3"/>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（一）</w:t>
      </w:r>
      <w:r>
        <w:rPr>
          <w:rFonts w:ascii="楷体_GB2312" w:eastAsia="楷体_GB2312"/>
          <w:color w:val="000000"/>
          <w:sz w:val="32"/>
          <w:szCs w:val="32"/>
        </w:rPr>
        <w:t>教学方法建议</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根据基础化学的特点和学生的实际情况，选择适用的教学方法和教学手段，突出重点，突破难点，从多角度启发学生的思维，提高学生探究学习和自主学习的能力。</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 xml:space="preserve">（1）根据职业教育的培养目标和学生的知识水平，加强基本概念、基础理论和基本反应，淡化过深的知识点。 </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 xml:space="preserve">（2）多媒体教学方法与传统方法相结合，提高教学质量。充分利于现代教育技术，利用模型、图表、教学资源库，尤其要在课件中制作具有动画效果的立体结构模型，使教学内容直观形象。 </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2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GB2312" w:hAnsi="仿宋" w:eastAsia="仿宋GB2312" w:cs="华文仿宋"/>
          <w:bCs/>
          <w:color w:val="000000"/>
          <w:szCs w:val="24"/>
        </w:rPr>
        <w:t>（</w:t>
      </w:r>
      <w:r>
        <w:rPr>
          <w:rFonts w:hint="eastAsia" w:ascii="仿宋_GB2312" w:hAnsi="Calibri" w:eastAsia="仿宋_GB2312" w:cs="Times New Roman"/>
          <w:color w:val="auto"/>
          <w:kern w:val="2"/>
          <w:sz w:val="24"/>
          <w:szCs w:val="24"/>
          <w:lang w:val="en-US" w:eastAsia="en-US" w:bidi="ar-SA"/>
        </w:rPr>
        <w:t xml:space="preserve">3）设计课程内容时，注重理论教学与实践相结合，引入先进的技术和工艺，调动学生的积极性，激发学生的学习兴趣。 </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（4）采用启发式、互动式、讨论式教学方法，难点教学单元组织课题组教师集体备课。</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5）因材施教，传授与启发并重。例如在讲解pH值计算公式时，首先交代公式推导的思路是写出各种酸碱溶液的质子平衡等衡式，再将等式中的各项用各种常数（KW、Ka等）表达式代入，整理，获得pH计算精确式，再运用近似思想进行近似处理，最后获得各种近似式和最简式。</w:t>
      </w:r>
    </w:p>
    <w:p>
      <w:pPr>
        <w:pStyle w:val="3"/>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（二）主要教学方法</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（1）注重实验实训指导书和教材的开发和利用。</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（2）注重课程资源与现代化教学资源的开发和利用，这些资源利于创设形象生动的工作情景，激发学生的学习兴趣，促进学生对知识的理解和掌握。</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（3）积极开发和利用互联网课程资源，如电子书籍、电子期刊、数据库、数字图书馆等，使教学从单一媒体向多种媒体转变。同时应积极创造条件搭建远程教学平台，扩大课程资源的交互空间。</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（4）产学合作开发实验实训课程资源，充分利用本行业典型的企业资源，加强产学合作建立实习实训基地，实践工学交替，满足学生的实习实训需求，同时为学生的就业创造机会。</w:t>
      </w:r>
    </w:p>
    <w:p>
      <w:pPr>
        <w:pStyle w:val="3"/>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楷体_GB2312" w:eastAsia="楷体_GB2312"/>
          <w:color w:val="000000"/>
          <w:sz w:val="32"/>
          <w:szCs w:val="32"/>
        </w:rPr>
      </w:pPr>
      <w:r>
        <w:rPr>
          <w:rFonts w:hint="eastAsia" w:ascii="楷体_GB2312" w:eastAsia="楷体_GB2312"/>
          <w:color w:val="000000"/>
          <w:sz w:val="32"/>
          <w:szCs w:val="32"/>
        </w:rPr>
        <w:t>（三）主要参考教材</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1.常春英主编，《化学》（通用版），航空工业出版社，2021.</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2.余翔、杨志坚主编，《化学》，航空工业出版社，2019.</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3.邓基芹主编，《无机化学》，冶金工业出版社，2009.</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4.丁杰主编，《无机化学简明教程》，化学工业出版社，2008.</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5.胡伟光主编，《无机化学学习指导》，化学工业出版社，2005.</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6.林俊杰主编，《无机化学》第二版，化学工业出版社，2007.</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142" w:firstLine="480" w:firstLineChars="200"/>
        <w:jc w:val="both"/>
        <w:textAlignment w:val="auto"/>
        <w:rPr>
          <w:rFonts w:hint="eastAsia" w:ascii="仿宋_GB2312" w:hAnsi="Calibri" w:eastAsia="仿宋_GB2312" w:cs="Times New Roman"/>
          <w:color w:val="auto"/>
          <w:kern w:val="2"/>
          <w:sz w:val="24"/>
          <w:szCs w:val="24"/>
          <w:lang w:val="en-US" w:eastAsia="en-US" w:bidi="ar-SA"/>
        </w:rPr>
      </w:pPr>
      <w:r>
        <w:rPr>
          <w:rFonts w:hint="eastAsia" w:ascii="仿宋_GB2312" w:hAnsi="Calibri" w:eastAsia="仿宋_GB2312" w:cs="Times New Roman"/>
          <w:color w:val="auto"/>
          <w:kern w:val="2"/>
          <w:sz w:val="24"/>
          <w:szCs w:val="24"/>
          <w:lang w:val="en-US" w:eastAsia="en-US" w:bidi="ar-SA"/>
        </w:rPr>
        <w:t>7.徐家宁主编，《无机化学例题与习题》，高等教育出版社，2007.</w:t>
      </w:r>
    </w:p>
    <w:p>
      <w:pPr>
        <w:pStyle w:val="3"/>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楷体_GB2312" w:eastAsia="楷体_GB2312"/>
          <w:color w:val="000000"/>
          <w:sz w:val="32"/>
          <w:szCs w:val="32"/>
        </w:rPr>
      </w:pPr>
    </w:p>
    <w:p>
      <w:pPr>
        <w:pStyle w:val="3"/>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楷体_GB2312" w:eastAsia="楷体_GB2312"/>
          <w:color w:val="000000"/>
          <w:sz w:val="32"/>
          <w:szCs w:val="32"/>
        </w:rPr>
      </w:pPr>
    </w:p>
    <w:p>
      <w:pPr>
        <w:pStyle w:val="3"/>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楷体_GB2312" w:eastAsia="楷体_GB2312"/>
          <w:color w:val="000000"/>
          <w:sz w:val="32"/>
          <w:szCs w:val="32"/>
        </w:rPr>
      </w:pPr>
    </w:p>
    <w:p>
      <w:pPr>
        <w:pStyle w:val="13"/>
        <w:keepNext w:val="0"/>
        <w:keepLines w:val="0"/>
        <w:pageBreakBefore w:val="0"/>
        <w:kinsoku/>
        <w:wordWrap/>
        <w:overflowPunct/>
        <w:topLinePunct w:val="0"/>
        <w:autoSpaceDE/>
        <w:autoSpaceDN/>
        <w:bidi w:val="0"/>
        <w:adjustRightInd/>
        <w:spacing w:line="560" w:lineRule="exact"/>
        <w:ind w:firstLine="0" w:firstLineChars="0"/>
        <w:jc w:val="right"/>
        <w:textAlignment w:val="auto"/>
        <w:rPr>
          <w:rFonts w:ascii="仿宋_GB2312" w:eastAsia="仿宋_GB2312"/>
          <w:color w:val="000000"/>
          <w:sz w:val="32"/>
          <w:szCs w:val="32"/>
        </w:rPr>
      </w:pPr>
      <w:r>
        <w:rPr>
          <w:rFonts w:hint="eastAsia" w:ascii="仿宋_GB2312" w:eastAsia="仿宋_GB2312"/>
          <w:color w:val="000000"/>
          <w:szCs w:val="24"/>
        </w:rPr>
        <w:t xml:space="preserve">                   </w:t>
      </w:r>
      <w:r>
        <w:rPr>
          <w:rFonts w:hint="eastAsia" w:ascii="仿宋_GB2312" w:eastAsia="仿宋_GB2312"/>
          <w:color w:val="000000"/>
          <w:sz w:val="32"/>
          <w:szCs w:val="32"/>
        </w:rPr>
        <w:t xml:space="preserve">  </w:t>
      </w:r>
    </w:p>
    <w:p>
      <w:pPr>
        <w:pStyle w:val="13"/>
        <w:keepNext w:val="0"/>
        <w:keepLines w:val="0"/>
        <w:pageBreakBefore w:val="0"/>
        <w:kinsoku/>
        <w:wordWrap/>
        <w:overflowPunct/>
        <w:topLinePunct w:val="0"/>
        <w:autoSpaceDE/>
        <w:autoSpaceDN/>
        <w:bidi w:val="0"/>
        <w:adjustRightInd/>
        <w:spacing w:line="560" w:lineRule="exact"/>
        <w:ind w:firstLine="0" w:firstLineChars="0"/>
        <w:jc w:val="right"/>
        <w:textAlignment w:val="auto"/>
        <w:rPr>
          <w:rFonts w:ascii="仿宋_GB2312" w:eastAsia="仿宋_GB2312"/>
          <w:color w:val="000000"/>
          <w:sz w:val="24"/>
          <w:szCs w:val="24"/>
        </w:rPr>
      </w:pPr>
      <w:r>
        <w:rPr>
          <w:rFonts w:hint="eastAsia" w:ascii="仿宋_GB2312" w:eastAsia="仿宋_GB2312"/>
          <w:color w:val="000000"/>
          <w:sz w:val="24"/>
          <w:szCs w:val="24"/>
        </w:rPr>
        <w:t>课程标准编制单位：公共教学部基础教研室</w:t>
      </w:r>
    </w:p>
    <w:p>
      <w:pPr>
        <w:pStyle w:val="13"/>
        <w:keepNext w:val="0"/>
        <w:keepLines w:val="0"/>
        <w:pageBreakBefore w:val="0"/>
        <w:kinsoku/>
        <w:wordWrap/>
        <w:overflowPunct/>
        <w:topLinePunct w:val="0"/>
        <w:autoSpaceDE/>
        <w:autoSpaceDN/>
        <w:bidi w:val="0"/>
        <w:adjustRightInd/>
        <w:spacing w:line="560" w:lineRule="exact"/>
        <w:ind w:firstLine="480" w:firstLineChars="0"/>
        <w:jc w:val="right"/>
        <w:textAlignment w:val="auto"/>
        <w:rPr>
          <w:rFonts w:ascii="仿宋_GB2312" w:eastAsia="仿宋_GB2312"/>
          <w:color w:val="000000"/>
          <w:sz w:val="24"/>
          <w:szCs w:val="24"/>
        </w:rPr>
      </w:pPr>
      <w:r>
        <w:rPr>
          <w:rFonts w:hint="eastAsia" w:ascii="仿宋_GB2312" w:eastAsia="仿宋_GB2312"/>
          <w:color w:val="000000"/>
          <w:sz w:val="24"/>
          <w:szCs w:val="24"/>
        </w:rPr>
        <w:t xml:space="preserve">                     执笔人：郑惠文          </w:t>
      </w:r>
    </w:p>
    <w:p>
      <w:pPr>
        <w:pStyle w:val="13"/>
        <w:keepNext w:val="0"/>
        <w:keepLines w:val="0"/>
        <w:pageBreakBefore w:val="0"/>
        <w:kinsoku/>
        <w:wordWrap/>
        <w:overflowPunct/>
        <w:topLinePunct w:val="0"/>
        <w:autoSpaceDE/>
        <w:autoSpaceDN/>
        <w:bidi w:val="0"/>
        <w:adjustRightInd/>
        <w:spacing w:line="560" w:lineRule="exact"/>
        <w:ind w:firstLine="480" w:firstLineChars="0"/>
        <w:jc w:val="right"/>
        <w:textAlignment w:val="auto"/>
        <w:rPr>
          <w:rFonts w:ascii="仿宋_GB2312" w:eastAsia="仿宋_GB2312"/>
          <w:color w:val="000000"/>
          <w:sz w:val="24"/>
          <w:szCs w:val="24"/>
        </w:rPr>
      </w:pPr>
      <w:r>
        <w:rPr>
          <w:rFonts w:hint="eastAsia" w:ascii="仿宋_GB2312" w:eastAsia="仿宋_GB2312"/>
          <w:color w:val="000000"/>
          <w:sz w:val="24"/>
          <w:szCs w:val="24"/>
        </w:rPr>
        <w:t>审核人：</w:t>
      </w:r>
      <w:r>
        <w:rPr>
          <w:rFonts w:hint="eastAsia" w:ascii="仿宋_GB2312" w:eastAsia="仿宋_GB2312"/>
          <w:color w:val="000000"/>
          <w:sz w:val="24"/>
          <w:szCs w:val="24"/>
          <w:lang w:eastAsia="zh-CN"/>
        </w:rPr>
        <w:t>丁可</w:t>
      </w:r>
      <w:r>
        <w:rPr>
          <w:rFonts w:hint="eastAsia" w:ascii="仿宋_GB2312" w:eastAsia="仿宋_GB2312"/>
          <w:color w:val="000000"/>
          <w:sz w:val="24"/>
          <w:szCs w:val="24"/>
        </w:rPr>
        <w:t xml:space="preserve">  </w:t>
      </w:r>
    </w:p>
    <w:p>
      <w:pPr>
        <w:pStyle w:val="13"/>
        <w:keepNext w:val="0"/>
        <w:keepLines w:val="0"/>
        <w:pageBreakBefore w:val="0"/>
        <w:kinsoku/>
        <w:wordWrap/>
        <w:overflowPunct/>
        <w:topLinePunct w:val="0"/>
        <w:autoSpaceDE/>
        <w:autoSpaceDN/>
        <w:bidi w:val="0"/>
        <w:adjustRightInd/>
        <w:spacing w:line="560" w:lineRule="exact"/>
        <w:ind w:firstLine="3000" w:firstLineChars="1250"/>
        <w:jc w:val="right"/>
        <w:textAlignment w:val="auto"/>
        <w:rPr>
          <w:rFonts w:hint="eastAsia" w:ascii="仿宋_GB2312" w:eastAsia="仿宋_GB2312"/>
          <w:color w:val="000000"/>
          <w:sz w:val="24"/>
          <w:szCs w:val="24"/>
          <w:lang w:eastAsia="zh-CN"/>
        </w:rPr>
      </w:pPr>
      <w:r>
        <w:rPr>
          <w:rFonts w:hint="eastAsia" w:ascii="仿宋_GB2312" w:eastAsia="仿宋_GB2312"/>
          <w:color w:val="000000"/>
          <w:sz w:val="24"/>
          <w:szCs w:val="24"/>
          <w:lang w:eastAsia="zh-CN"/>
        </w:rPr>
        <w:t>学院（部）</w:t>
      </w:r>
      <w:r>
        <w:rPr>
          <w:rFonts w:hint="eastAsia" w:ascii="仿宋_GB2312" w:eastAsia="仿宋_GB2312"/>
          <w:color w:val="000000"/>
          <w:sz w:val="24"/>
          <w:szCs w:val="24"/>
        </w:rPr>
        <w:t>审核人：</w:t>
      </w:r>
      <w:r>
        <w:rPr>
          <w:rFonts w:hint="eastAsia" w:ascii="仿宋_GB2312" w:eastAsia="仿宋_GB2312"/>
          <w:color w:val="000000"/>
          <w:sz w:val="24"/>
          <w:szCs w:val="24"/>
          <w:lang w:eastAsia="zh-CN"/>
        </w:rPr>
        <w:t>邹龙成</w:t>
      </w:r>
    </w:p>
    <w:sectPr>
      <w:footerReference r:id="rId5" w:type="default"/>
      <w:pgSz w:w="11906" w:h="16838"/>
      <w:pgMar w:top="2098" w:right="1474" w:bottom="1985"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GB2312">
    <w:altName w:val="宋体"/>
    <w:panose1 w:val="00000000000000000000"/>
    <w:charset w:val="86"/>
    <w:family w:val="roman"/>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949" w:y="-203"/>
      <w:rPr>
        <w:rStyle w:val="10"/>
        <w:rFonts w:ascii="宋体" w:hAnsi="宋体"/>
        <w:sz w:val="28"/>
        <w:szCs w:val="28"/>
      </w:rPr>
    </w:pP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14</w:t>
    </w:r>
    <w:r>
      <w:rPr>
        <w:rFonts w:ascii="宋体" w:hAnsi="宋体"/>
        <w:sz w:val="28"/>
        <w:szCs w:val="28"/>
      </w:rPr>
      <w:fldChar w:fldCharType="end"/>
    </w:r>
    <w:r>
      <w:rPr>
        <w:rStyle w:val="10"/>
        <w:rFonts w:hint="eastAsia" w:ascii="宋体" w:hAnsi="宋体"/>
        <w:sz w:val="28"/>
        <w:szCs w:val="28"/>
      </w:rPr>
      <w:t xml:space="preserve"> — </w:t>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YWY3NWMxMGM5ZGQ5OTZmMzEzNGQ4YzM4MTE0MzcifQ=="/>
  </w:docVars>
  <w:rsids>
    <w:rsidRoot w:val="00045805"/>
    <w:rsid w:val="00026C11"/>
    <w:rsid w:val="00045805"/>
    <w:rsid w:val="00060625"/>
    <w:rsid w:val="000800C8"/>
    <w:rsid w:val="0009743F"/>
    <w:rsid w:val="000A129A"/>
    <w:rsid w:val="000C088E"/>
    <w:rsid w:val="000C0F09"/>
    <w:rsid w:val="000F7F81"/>
    <w:rsid w:val="00105D6B"/>
    <w:rsid w:val="00176BE3"/>
    <w:rsid w:val="001A6AE2"/>
    <w:rsid w:val="001C01E6"/>
    <w:rsid w:val="001E7961"/>
    <w:rsid w:val="00273F5B"/>
    <w:rsid w:val="00274267"/>
    <w:rsid w:val="002833C2"/>
    <w:rsid w:val="002D5998"/>
    <w:rsid w:val="002E74FB"/>
    <w:rsid w:val="002F4241"/>
    <w:rsid w:val="0032353C"/>
    <w:rsid w:val="003440A2"/>
    <w:rsid w:val="00351748"/>
    <w:rsid w:val="003A6E43"/>
    <w:rsid w:val="003F0E9E"/>
    <w:rsid w:val="00413DA8"/>
    <w:rsid w:val="004409B1"/>
    <w:rsid w:val="00470DD4"/>
    <w:rsid w:val="004A4963"/>
    <w:rsid w:val="004D0D49"/>
    <w:rsid w:val="004D34A6"/>
    <w:rsid w:val="004E0277"/>
    <w:rsid w:val="004E7DAC"/>
    <w:rsid w:val="00517B94"/>
    <w:rsid w:val="00527D41"/>
    <w:rsid w:val="0053089A"/>
    <w:rsid w:val="00562654"/>
    <w:rsid w:val="005661C0"/>
    <w:rsid w:val="00573115"/>
    <w:rsid w:val="005758CD"/>
    <w:rsid w:val="00592192"/>
    <w:rsid w:val="00593CF3"/>
    <w:rsid w:val="005A02A8"/>
    <w:rsid w:val="005E2947"/>
    <w:rsid w:val="005F006D"/>
    <w:rsid w:val="00617C5D"/>
    <w:rsid w:val="0067281E"/>
    <w:rsid w:val="00684D1F"/>
    <w:rsid w:val="006B0A61"/>
    <w:rsid w:val="006D7E60"/>
    <w:rsid w:val="00721738"/>
    <w:rsid w:val="007544FD"/>
    <w:rsid w:val="00762932"/>
    <w:rsid w:val="007660DE"/>
    <w:rsid w:val="007A20C4"/>
    <w:rsid w:val="007D1271"/>
    <w:rsid w:val="007D6EB3"/>
    <w:rsid w:val="007F0759"/>
    <w:rsid w:val="00853CD0"/>
    <w:rsid w:val="008C3BFB"/>
    <w:rsid w:val="008E3EB0"/>
    <w:rsid w:val="008F621A"/>
    <w:rsid w:val="00907172"/>
    <w:rsid w:val="00934F62"/>
    <w:rsid w:val="00953A5C"/>
    <w:rsid w:val="009B41EC"/>
    <w:rsid w:val="00A43E65"/>
    <w:rsid w:val="00AD6EF9"/>
    <w:rsid w:val="00B119D9"/>
    <w:rsid w:val="00B30CCD"/>
    <w:rsid w:val="00B97789"/>
    <w:rsid w:val="00BA06D1"/>
    <w:rsid w:val="00BB5AE1"/>
    <w:rsid w:val="00BB5FDF"/>
    <w:rsid w:val="00BE1D45"/>
    <w:rsid w:val="00BF3700"/>
    <w:rsid w:val="00C041AA"/>
    <w:rsid w:val="00C3376E"/>
    <w:rsid w:val="00C55D70"/>
    <w:rsid w:val="00CB2A70"/>
    <w:rsid w:val="00CF3887"/>
    <w:rsid w:val="00D347C3"/>
    <w:rsid w:val="00D4767F"/>
    <w:rsid w:val="00D518E7"/>
    <w:rsid w:val="00D6253A"/>
    <w:rsid w:val="00D77D0B"/>
    <w:rsid w:val="00D81E81"/>
    <w:rsid w:val="00DA1C9A"/>
    <w:rsid w:val="00DA5F5B"/>
    <w:rsid w:val="00E30E52"/>
    <w:rsid w:val="00E62BBA"/>
    <w:rsid w:val="00E73CB8"/>
    <w:rsid w:val="00E82D44"/>
    <w:rsid w:val="00EA658B"/>
    <w:rsid w:val="00EC5A06"/>
    <w:rsid w:val="00EC7FDD"/>
    <w:rsid w:val="00EF7275"/>
    <w:rsid w:val="00F232AB"/>
    <w:rsid w:val="00F5708B"/>
    <w:rsid w:val="00F620AA"/>
    <w:rsid w:val="00F740BD"/>
    <w:rsid w:val="00F7754E"/>
    <w:rsid w:val="00F91913"/>
    <w:rsid w:val="00F91A66"/>
    <w:rsid w:val="00FA4FFD"/>
    <w:rsid w:val="01521C8D"/>
    <w:rsid w:val="019C7431"/>
    <w:rsid w:val="019F706F"/>
    <w:rsid w:val="01CA5CC8"/>
    <w:rsid w:val="01F36FCC"/>
    <w:rsid w:val="02B81FC4"/>
    <w:rsid w:val="02F4124E"/>
    <w:rsid w:val="03681C3C"/>
    <w:rsid w:val="08397703"/>
    <w:rsid w:val="086A3BF5"/>
    <w:rsid w:val="08713D58"/>
    <w:rsid w:val="0AF3003D"/>
    <w:rsid w:val="0AFA1023"/>
    <w:rsid w:val="0B811AED"/>
    <w:rsid w:val="10BC7123"/>
    <w:rsid w:val="111725AC"/>
    <w:rsid w:val="14891D7B"/>
    <w:rsid w:val="194228BA"/>
    <w:rsid w:val="1A564145"/>
    <w:rsid w:val="1B6F3710"/>
    <w:rsid w:val="1E301F4B"/>
    <w:rsid w:val="1E401394"/>
    <w:rsid w:val="1EFF5549"/>
    <w:rsid w:val="1F3031B6"/>
    <w:rsid w:val="23EE53EE"/>
    <w:rsid w:val="27D50D9F"/>
    <w:rsid w:val="288F53F1"/>
    <w:rsid w:val="2899001E"/>
    <w:rsid w:val="298760C9"/>
    <w:rsid w:val="2A0B6CFA"/>
    <w:rsid w:val="2B35258B"/>
    <w:rsid w:val="2BA271EA"/>
    <w:rsid w:val="2BCE4483"/>
    <w:rsid w:val="2C494727"/>
    <w:rsid w:val="2CB847EB"/>
    <w:rsid w:val="2EF27E76"/>
    <w:rsid w:val="2F4B5DEA"/>
    <w:rsid w:val="32A03508"/>
    <w:rsid w:val="336A3155"/>
    <w:rsid w:val="33E365F1"/>
    <w:rsid w:val="37092813"/>
    <w:rsid w:val="3A437DEA"/>
    <w:rsid w:val="3A8521B0"/>
    <w:rsid w:val="3CE75DAE"/>
    <w:rsid w:val="3D202664"/>
    <w:rsid w:val="3D281519"/>
    <w:rsid w:val="3DD31485"/>
    <w:rsid w:val="3F0F346C"/>
    <w:rsid w:val="44EE3048"/>
    <w:rsid w:val="45E561F9"/>
    <w:rsid w:val="46B502C1"/>
    <w:rsid w:val="48A759E8"/>
    <w:rsid w:val="49B02FC2"/>
    <w:rsid w:val="4AF15640"/>
    <w:rsid w:val="4D007DBC"/>
    <w:rsid w:val="4F797852"/>
    <w:rsid w:val="4F950C90"/>
    <w:rsid w:val="5023629C"/>
    <w:rsid w:val="52761191"/>
    <w:rsid w:val="52F921A8"/>
    <w:rsid w:val="537B1F4B"/>
    <w:rsid w:val="53971665"/>
    <w:rsid w:val="56226FF5"/>
    <w:rsid w:val="585711D8"/>
    <w:rsid w:val="5AD17047"/>
    <w:rsid w:val="5E657918"/>
    <w:rsid w:val="5F924E9F"/>
    <w:rsid w:val="628D57F7"/>
    <w:rsid w:val="633839B4"/>
    <w:rsid w:val="639037F0"/>
    <w:rsid w:val="63BC45E5"/>
    <w:rsid w:val="647749B0"/>
    <w:rsid w:val="64E57B6C"/>
    <w:rsid w:val="658B0713"/>
    <w:rsid w:val="67452B44"/>
    <w:rsid w:val="69894F6A"/>
    <w:rsid w:val="69FA5E67"/>
    <w:rsid w:val="6CA34594"/>
    <w:rsid w:val="6E3D1D31"/>
    <w:rsid w:val="6E5D0773"/>
    <w:rsid w:val="6F4B1580"/>
    <w:rsid w:val="6F560D44"/>
    <w:rsid w:val="700E441B"/>
    <w:rsid w:val="707C596B"/>
    <w:rsid w:val="70E909E4"/>
    <w:rsid w:val="71357785"/>
    <w:rsid w:val="728E539F"/>
    <w:rsid w:val="745148D6"/>
    <w:rsid w:val="77AD24AB"/>
    <w:rsid w:val="78FE5EBE"/>
    <w:rsid w:val="791E4FA3"/>
    <w:rsid w:val="79740C89"/>
    <w:rsid w:val="7C127041"/>
    <w:rsid w:val="7D360B0D"/>
    <w:rsid w:val="7E4D6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semiHidden/>
    <w:unhideWhenUsed/>
    <w:qFormat/>
    <w:uiPriority w:val="99"/>
    <w:pPr>
      <w:spacing w:after="120"/>
    </w:pPr>
  </w:style>
  <w:style w:type="paragraph" w:styleId="3">
    <w:name w:val="Body Text Indent"/>
    <w:basedOn w:val="1"/>
    <w:link w:val="16"/>
    <w:qFormat/>
    <w:uiPriority w:val="0"/>
    <w:pPr>
      <w:spacing w:line="360" w:lineRule="auto"/>
      <w:ind w:firstLine="435"/>
    </w:pPr>
    <w:rPr>
      <w:sz w:val="24"/>
    </w:rPr>
  </w:style>
  <w:style w:type="paragraph" w:styleId="4">
    <w:name w:val="footer"/>
    <w:basedOn w:val="1"/>
    <w:link w:val="11"/>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脚 字符1"/>
    <w:link w:val="4"/>
    <w:qFormat/>
    <w:uiPriority w:val="0"/>
    <w:rPr>
      <w:rFonts w:ascii="Times New Roman" w:hAnsi="Times New Roman"/>
      <w:kern w:val="2"/>
      <w:sz w:val="18"/>
      <w:szCs w:val="18"/>
    </w:rPr>
  </w:style>
  <w:style w:type="character" w:customStyle="1" w:styleId="12">
    <w:name w:val="页眉 字符"/>
    <w:link w:val="5"/>
    <w:qFormat/>
    <w:uiPriority w:val="99"/>
    <w:rPr>
      <w:kern w:val="2"/>
      <w:sz w:val="18"/>
      <w:szCs w:val="18"/>
    </w:rPr>
  </w:style>
  <w:style w:type="paragraph" w:styleId="13">
    <w:name w:val="List Paragraph"/>
    <w:basedOn w:val="1"/>
    <w:qFormat/>
    <w:uiPriority w:val="0"/>
    <w:pPr>
      <w:ind w:firstLine="420" w:firstLineChars="200"/>
    </w:pPr>
    <w:rPr>
      <w:sz w:val="24"/>
    </w:rPr>
  </w:style>
  <w:style w:type="character" w:customStyle="1" w:styleId="14">
    <w:name w:val="页脚 字符"/>
    <w:qFormat/>
    <w:uiPriority w:val="99"/>
  </w:style>
  <w:style w:type="character" w:customStyle="1" w:styleId="15">
    <w:name w:val="正文文本 字符"/>
    <w:basedOn w:val="9"/>
    <w:link w:val="2"/>
    <w:semiHidden/>
    <w:qFormat/>
    <w:uiPriority w:val="99"/>
    <w:rPr>
      <w:kern w:val="2"/>
      <w:sz w:val="21"/>
      <w:szCs w:val="22"/>
    </w:rPr>
  </w:style>
  <w:style w:type="character" w:customStyle="1" w:styleId="16">
    <w:name w:val="正文文本缩进 字符"/>
    <w:basedOn w:val="9"/>
    <w:link w:val="3"/>
    <w:qFormat/>
    <w:uiPriority w:val="0"/>
    <w:rPr>
      <w:kern w:val="2"/>
      <w:sz w:val="24"/>
      <w:szCs w:val="22"/>
    </w:rPr>
  </w:style>
  <w:style w:type="character" w:styleId="17">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31EF9-D44F-4E60-821F-A917742E3017}">
  <ds:schemaRefs/>
</ds:datastoreItem>
</file>

<file path=docProps/app.xml><?xml version="1.0" encoding="utf-8"?>
<Properties xmlns="http://schemas.openxmlformats.org/officeDocument/2006/extended-properties" xmlns:vt="http://schemas.openxmlformats.org/officeDocument/2006/docPropsVTypes">
  <Template>Normal</Template>
  <Pages>15</Pages>
  <Words>7577</Words>
  <Characters>7688</Characters>
  <Lines>58</Lines>
  <Paragraphs>16</Paragraphs>
  <TotalTime>0</TotalTime>
  <ScaleCrop>false</ScaleCrop>
  <LinksUpToDate>false</LinksUpToDate>
  <CharactersWithSpaces>7792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2022-01-07T01:53:00Z</dcterms:created>
  <dc:creator>Administrator</dc:creator>
  <cp:lastModifiedBy>Administrator</cp:lastModifiedBy>
  <dcterms:modified xsi:type="dcterms:W3CDTF">2022-05-26T09:51:30Z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860A188A63624964BBFEC509F0B29D23</vt:lpwstr>
  </property>
</Properties>
</file>